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8149" w14:textId="575EA91F" w:rsidR="00E3215E" w:rsidRDefault="002417CD" w:rsidP="00C22EBF">
      <w:pPr>
        <w:jc w:val="center"/>
        <w:rPr>
          <w:rFonts w:cs="Times New Roman"/>
          <w:sz w:val="32"/>
        </w:rPr>
      </w:pPr>
      <w:r w:rsidRPr="002417CD">
        <w:rPr>
          <w:rFonts w:cs="Times New Roman"/>
          <w:sz w:val="32"/>
        </w:rPr>
        <w:t>Propuesta metodológica para estimar la vulnerabilidad local por inundación en áreas turísticas costeras de clima árido: aplicación al litoral de Arona y Adeje (SO de Tenerife)</w:t>
      </w:r>
    </w:p>
    <w:p w14:paraId="658AE1C7" w14:textId="3CF10988" w:rsidR="002417CD" w:rsidRDefault="00EF014B" w:rsidP="00C22EBF">
      <w:pPr>
        <w:jc w:val="center"/>
        <w:rPr>
          <w:rFonts w:cs="Times New Roman"/>
          <w:sz w:val="20"/>
        </w:rPr>
      </w:pPr>
      <w:r>
        <w:rPr>
          <w:rFonts w:cs="Times New Roman"/>
          <w:sz w:val="20"/>
        </w:rPr>
        <w:t>Apellidos autor 1, Nombre 1; Apellidos autor 2, Nombre 2; Apellidos autor 3, Nombre 3; Apellidos autor 4, Nombre 4 y Apellidos autor 5; Nombre 5</w:t>
      </w:r>
    </w:p>
    <w:p w14:paraId="11635C05" w14:textId="21E75188" w:rsidR="002B674F" w:rsidRPr="008A13B5" w:rsidRDefault="002B674F" w:rsidP="002B674F">
      <w:pPr>
        <w:rPr>
          <w:rFonts w:cs="Times New Roman"/>
          <w:sz w:val="20"/>
        </w:rPr>
      </w:pPr>
      <w:r>
        <w:rPr>
          <w:rFonts w:cs="Times New Roman"/>
          <w:sz w:val="20"/>
        </w:rPr>
        <w:t>Filiación autores</w:t>
      </w:r>
    </w:p>
    <w:p w14:paraId="371BA8DC" w14:textId="77777777" w:rsidR="00E3215E" w:rsidRPr="008A13B5" w:rsidRDefault="00E3215E" w:rsidP="00C22EBF">
      <w:pPr>
        <w:pStyle w:val="EtiquetaResumenkeywords"/>
      </w:pPr>
      <w:r w:rsidRPr="008A13B5">
        <w:t>Resumen</w:t>
      </w:r>
    </w:p>
    <w:p w14:paraId="09F3C489" w14:textId="77777777" w:rsidR="002B674F" w:rsidRDefault="002B674F" w:rsidP="00C22EBF">
      <w:pPr>
        <w:jc w:val="both"/>
        <w:rPr>
          <w:rFonts w:cs="Times New Roman"/>
        </w:rPr>
      </w:pPr>
      <w:r w:rsidRPr="002B674F">
        <w:rPr>
          <w:rFonts w:cs="Times New Roman"/>
        </w:rPr>
        <w:t xml:space="preserve">En este trabajo se propone una metodología cualitativa para el cálculo de un índice de vulnerabilidad por inundación. Partiendo de información disponible en muchas administraciones locales, la misma se aplica en el litoral de Arona y Adeje, áreas turísticas en el suroeste de Tenerife que cuentan con una oferta </w:t>
      </w:r>
      <w:proofErr w:type="spellStart"/>
      <w:r w:rsidRPr="002B674F">
        <w:rPr>
          <w:rFonts w:cs="Times New Roman"/>
        </w:rPr>
        <w:t>alojativa</w:t>
      </w:r>
      <w:proofErr w:type="spellEnd"/>
      <w:r w:rsidRPr="002B674F">
        <w:rPr>
          <w:rFonts w:cs="Times New Roman"/>
        </w:rPr>
        <w:t xml:space="preserve"> superior a las 90.000 plazas, como consta en el Instituto de Estadística del Gobierno de Canarias (ISTAC, 2018). De la labor desarrollada a nivel de parcela catastral resulta un índice de vulnerabilidad que oscila entre un valor mínimo de 0,00-0,03 y un máximo &gt;0,30, así como su diferenciación espacial según la antigüedad de las urbanizaciones turísticas. El empleo del índice que se formula permite evaluar a escala local y con gran precisión la vulnerabilidad de espacios turísticos.</w:t>
      </w:r>
    </w:p>
    <w:p w14:paraId="4C3E25EC" w14:textId="6C1AC737" w:rsidR="00E3215E" w:rsidRPr="008A13B5" w:rsidRDefault="00E3215E" w:rsidP="00C22EBF">
      <w:pPr>
        <w:jc w:val="both"/>
        <w:rPr>
          <w:rFonts w:cs="Times New Roman"/>
        </w:rPr>
      </w:pPr>
      <w:r w:rsidRPr="003B33D8">
        <w:rPr>
          <w:rStyle w:val="EtiquetaResumenkeywordsCar"/>
        </w:rPr>
        <w:t>Palabras clave:</w:t>
      </w:r>
      <w:r w:rsidR="00694757" w:rsidRPr="008A13B5">
        <w:rPr>
          <w:rFonts w:cs="Times New Roman"/>
          <w:sz w:val="24"/>
        </w:rPr>
        <w:t xml:space="preserve"> </w:t>
      </w:r>
      <w:r w:rsidR="002B674F" w:rsidRPr="002B674F">
        <w:rPr>
          <w:rFonts w:cs="Times New Roman"/>
          <w:sz w:val="24"/>
        </w:rPr>
        <w:t>Desastres, vulnerabilidad, riesgo de inundación, parcela catastral, costa, Tenerife.</w:t>
      </w:r>
    </w:p>
    <w:p w14:paraId="0741A475" w14:textId="77777777" w:rsidR="00694757" w:rsidRPr="008A13B5" w:rsidRDefault="00694757" w:rsidP="00C22EBF">
      <w:pPr>
        <w:jc w:val="both"/>
        <w:rPr>
          <w:rFonts w:cs="Times New Roman"/>
        </w:rPr>
      </w:pPr>
    </w:p>
    <w:p w14:paraId="7C4EC82F" w14:textId="77777777" w:rsidR="00E3215E" w:rsidRPr="008A13B5" w:rsidRDefault="00694757" w:rsidP="00C22EBF">
      <w:pPr>
        <w:pStyle w:val="EtiquetaResumenkeywords"/>
        <w:rPr>
          <w:lang w:val="en-GB"/>
        </w:rPr>
      </w:pPr>
      <w:r w:rsidRPr="008A13B5">
        <w:rPr>
          <w:lang w:val="en-GB"/>
        </w:rPr>
        <w:t>Abstract</w:t>
      </w:r>
    </w:p>
    <w:p w14:paraId="18275C89" w14:textId="77777777" w:rsidR="002B674F" w:rsidRDefault="002B674F" w:rsidP="00C22EBF">
      <w:pPr>
        <w:jc w:val="both"/>
        <w:rPr>
          <w:rFonts w:cs="Times New Roman"/>
          <w:lang w:val="en-GB"/>
        </w:rPr>
      </w:pPr>
      <w:r w:rsidRPr="002B674F">
        <w:rPr>
          <w:rFonts w:cs="Times New Roman"/>
          <w:lang w:val="en-GB"/>
        </w:rPr>
        <w:t xml:space="preserve">This paper proposes a qualitative methodology for calculating a flood vulnerability index. Based on information available in many local administrations, it is applied in the </w:t>
      </w:r>
      <w:proofErr w:type="spellStart"/>
      <w:r w:rsidRPr="002B674F">
        <w:rPr>
          <w:rFonts w:cs="Times New Roman"/>
          <w:lang w:val="en-GB"/>
        </w:rPr>
        <w:t>Arona</w:t>
      </w:r>
      <w:proofErr w:type="spellEnd"/>
      <w:r w:rsidRPr="002B674F">
        <w:rPr>
          <w:rFonts w:cs="Times New Roman"/>
          <w:lang w:val="en-GB"/>
        </w:rPr>
        <w:t xml:space="preserve"> and Adeje coast, tourist areas in the southwest of Tenerife that have a lodging offer of over 90.000 places annually (ISTAC, 2018). From the work carried out at the cadastral plot level, a vulnerability index is extracted that ranges between a minimum value of 0.00-0.03 and a maximum&gt; 0.30, as well as its spatial differentiation according to the age of the tourist urbanizations. This index is a good method for evaluations of urban spaces vulnerability</w:t>
      </w:r>
    </w:p>
    <w:p w14:paraId="65EC2378" w14:textId="3C8EFCC0" w:rsidR="00E3215E" w:rsidRDefault="00E3215E" w:rsidP="00C22EBF">
      <w:pPr>
        <w:jc w:val="both"/>
        <w:rPr>
          <w:rFonts w:cs="Times New Roman"/>
          <w:lang w:val="en-GB"/>
        </w:rPr>
      </w:pPr>
      <w:r w:rsidRPr="003B33D8">
        <w:rPr>
          <w:rStyle w:val="EtiquetaResumenkeywordsCar"/>
          <w:lang w:val="en-GB"/>
        </w:rPr>
        <w:t>Keywords:</w:t>
      </w:r>
      <w:r w:rsidR="009C6C5D" w:rsidRPr="008A13B5">
        <w:rPr>
          <w:rFonts w:cs="Times New Roman"/>
          <w:sz w:val="24"/>
          <w:lang w:val="en-GB"/>
        </w:rPr>
        <w:t xml:space="preserve"> </w:t>
      </w:r>
      <w:r w:rsidR="002B674F" w:rsidRPr="002B674F">
        <w:rPr>
          <w:rFonts w:cs="Times New Roman"/>
          <w:sz w:val="24"/>
          <w:lang w:val="en-GB"/>
        </w:rPr>
        <w:t>Disasters, flood risk, vulnerability, cadastral plot, coast, Tenerife.</w:t>
      </w:r>
    </w:p>
    <w:p w14:paraId="02724CE5" w14:textId="77777777" w:rsidR="001B0327" w:rsidRDefault="001B0327" w:rsidP="00C22EBF">
      <w:pPr>
        <w:jc w:val="both"/>
        <w:rPr>
          <w:rFonts w:cs="Times New Roman"/>
          <w:lang w:val="en-GB"/>
        </w:rPr>
      </w:pPr>
    </w:p>
    <w:p w14:paraId="01C0DDD3" w14:textId="77777777" w:rsidR="00C37732" w:rsidRPr="003E0B07" w:rsidRDefault="00C37732" w:rsidP="00C37732">
      <w:pPr>
        <w:contextualSpacing/>
        <w:jc w:val="both"/>
        <w:outlineLvl w:val="0"/>
        <w:rPr>
          <w:rFonts w:eastAsia="Times New Roman"/>
          <w:b/>
          <w:bCs/>
          <w:kern w:val="18"/>
          <w:lang w:eastAsia="es-ES"/>
        </w:rPr>
      </w:pPr>
      <w:r w:rsidRPr="003E0B07">
        <w:rPr>
          <w:rFonts w:eastAsia="Times New Roman"/>
          <w:b/>
          <w:bCs/>
          <w:kern w:val="18"/>
          <w:lang w:eastAsia="es-ES"/>
        </w:rPr>
        <w:t xml:space="preserve">1. LA VULNERABILIDAD LOCAL COMO OBJETIVO DE ANÁLISIS EN ESPACIOS CON RIESGO DE INUNDACIÓN  </w:t>
      </w:r>
    </w:p>
    <w:p w14:paraId="5F0A9CC6" w14:textId="77777777" w:rsidR="00C37732" w:rsidRPr="003E0B07" w:rsidRDefault="00C37732" w:rsidP="0038507E">
      <w:pPr>
        <w:ind w:firstLine="426"/>
        <w:contextualSpacing/>
        <w:jc w:val="both"/>
        <w:rPr>
          <w:rFonts w:eastAsia="Times New Roman"/>
          <w:bCs/>
          <w:kern w:val="18"/>
          <w:lang w:eastAsia="es-ES"/>
        </w:rPr>
      </w:pPr>
      <w:r w:rsidRPr="003E0B07">
        <w:rPr>
          <w:rFonts w:eastAsia="Times New Roman"/>
          <w:bCs/>
          <w:kern w:val="18"/>
          <w:lang w:eastAsia="es-ES"/>
        </w:rPr>
        <w:t xml:space="preserve">La guía para la adaptación y la elaboración de planes locales de adaptación al Cambio Climático del </w:t>
      </w:r>
      <w:r>
        <w:rPr>
          <w:rFonts w:eastAsia="Times New Roman"/>
          <w:bCs/>
          <w:kern w:val="18"/>
          <w:lang w:eastAsia="es-ES"/>
        </w:rPr>
        <w:t xml:space="preserve">Ministerio de Agricultura, Pesca y Alimentación </w:t>
      </w:r>
      <w:r w:rsidRPr="003E0B07">
        <w:rPr>
          <w:rFonts w:eastAsia="Times New Roman"/>
          <w:bCs/>
          <w:kern w:val="18"/>
          <w:lang w:eastAsia="es-ES"/>
        </w:rPr>
        <w:t>Gobierno de España</w:t>
      </w:r>
      <w:r>
        <w:rPr>
          <w:rFonts w:eastAsia="Times New Roman"/>
          <w:bCs/>
          <w:kern w:val="18"/>
          <w:lang w:eastAsia="es-ES"/>
        </w:rPr>
        <w:t xml:space="preserve"> </w:t>
      </w:r>
      <w:r w:rsidRPr="003E0B07">
        <w:rPr>
          <w:rFonts w:eastAsia="Times New Roman"/>
          <w:bCs/>
          <w:kern w:val="18"/>
          <w:lang w:eastAsia="es-ES"/>
        </w:rPr>
        <w:t xml:space="preserve">(MAPAMA, 2015) define la vulnerabilidad del territorio según su propensión a ser afectado por una amenaza. </w:t>
      </w:r>
      <w:r w:rsidRPr="003E0B07">
        <w:rPr>
          <w:rFonts w:eastAsia="Times New Roman"/>
          <w:bCs/>
          <w:kern w:val="18"/>
          <w:lang w:eastAsia="es-ES"/>
        </w:rPr>
        <w:lastRenderedPageBreak/>
        <w:t xml:space="preserve">En iguales términos se expresan los informes para la gestión del riesgo de eventos extremos y desastres del Panel Intergubernamental sobre el Cambio Climático (IPCC, </w:t>
      </w:r>
      <w:r>
        <w:rPr>
          <w:rFonts w:eastAsia="Times New Roman"/>
          <w:bCs/>
          <w:kern w:val="18"/>
          <w:lang w:eastAsia="es-ES"/>
        </w:rPr>
        <w:t>2014</w:t>
      </w:r>
      <w:r w:rsidRPr="003E0B07">
        <w:rPr>
          <w:rFonts w:eastAsia="Times New Roman"/>
          <w:bCs/>
          <w:kern w:val="18"/>
          <w:lang w:eastAsia="es-ES"/>
        </w:rPr>
        <w:t xml:space="preserve">). No obstante, en sus descripciones la vulnerabilidad también se contempla como un conjunto de caracteres y condicionantes fruto de la realidad social, cultural, histórica, medioambiental, política y económica en la que la sociedad desarrolla sus actividades (Cardona, 2012). Unos y otros podrían configurar los ejes básicos de diversos indicadores, que posibiliten medir y/o evaluar de forma adecuada la vulnerabilidad de un territorio o de una comunidad ante una amenaza determinada. Además, en el contexto del Cambio Climático aquella se construye, así mismo, en función de la exposición, la sensibilidad y la capacidad de adaptación de todo grupo humano (McCarthy </w:t>
      </w:r>
      <w:r w:rsidRPr="003E0B07">
        <w:rPr>
          <w:rFonts w:eastAsia="Times New Roman"/>
          <w:bCs/>
          <w:i/>
          <w:kern w:val="18"/>
          <w:lang w:eastAsia="es-ES"/>
        </w:rPr>
        <w:t>et al.</w:t>
      </w:r>
      <w:r w:rsidRPr="003E0B07">
        <w:rPr>
          <w:rFonts w:eastAsia="Times New Roman"/>
          <w:bCs/>
          <w:kern w:val="18"/>
          <w:lang w:eastAsia="es-ES"/>
        </w:rPr>
        <w:t xml:space="preserve">, 2004; </w:t>
      </w:r>
      <w:proofErr w:type="spellStart"/>
      <w:r w:rsidRPr="003E0B07">
        <w:rPr>
          <w:rFonts w:eastAsia="Times New Roman"/>
          <w:bCs/>
          <w:kern w:val="18"/>
          <w:lang w:eastAsia="es-ES"/>
        </w:rPr>
        <w:t>Füssel</w:t>
      </w:r>
      <w:proofErr w:type="spellEnd"/>
      <w:r w:rsidRPr="003E0B07">
        <w:rPr>
          <w:rFonts w:eastAsia="Times New Roman"/>
          <w:bCs/>
          <w:kern w:val="18"/>
          <w:lang w:eastAsia="es-ES"/>
        </w:rPr>
        <w:t xml:space="preserve"> and Klein, 2006; G. O’Brien </w:t>
      </w:r>
      <w:r w:rsidRPr="003E0B07">
        <w:rPr>
          <w:rFonts w:eastAsia="Times New Roman"/>
          <w:bCs/>
          <w:i/>
          <w:kern w:val="18"/>
          <w:lang w:eastAsia="es-ES"/>
        </w:rPr>
        <w:t>et al</w:t>
      </w:r>
      <w:r w:rsidRPr="003E0B07">
        <w:rPr>
          <w:rFonts w:eastAsia="Times New Roman"/>
          <w:bCs/>
          <w:kern w:val="18"/>
          <w:lang w:eastAsia="es-ES"/>
        </w:rPr>
        <w:t xml:space="preserve">., 2008). En este sentido, la exposición aparece como factor tácito y objetivo al que la vulnerabilidad se vincula casi en su práctica totalidad (Burton </w:t>
      </w:r>
      <w:r w:rsidRPr="003E0B07">
        <w:rPr>
          <w:rFonts w:eastAsia="Times New Roman"/>
          <w:bCs/>
          <w:i/>
          <w:kern w:val="18"/>
          <w:lang w:eastAsia="es-ES"/>
        </w:rPr>
        <w:t>et al.</w:t>
      </w:r>
      <w:r w:rsidRPr="003E0B07">
        <w:rPr>
          <w:rFonts w:eastAsia="Times New Roman"/>
          <w:bCs/>
          <w:kern w:val="18"/>
          <w:lang w:eastAsia="es-ES"/>
        </w:rPr>
        <w:t xml:space="preserve">, 1993). Ello es evidente sobre todo cuando se trata de riesgos específicos, como los que entrañan las inundaciones </w:t>
      </w:r>
      <w:r>
        <w:rPr>
          <w:rFonts w:eastAsia="Times New Roman"/>
          <w:bCs/>
          <w:kern w:val="18"/>
          <w:lang w:eastAsia="es-ES"/>
        </w:rPr>
        <w:t xml:space="preserve">dadas </w:t>
      </w:r>
      <w:r w:rsidRPr="003E0B07">
        <w:rPr>
          <w:rFonts w:eastAsia="Times New Roman"/>
          <w:bCs/>
          <w:kern w:val="18"/>
          <w:lang w:eastAsia="es-ES"/>
        </w:rPr>
        <w:t xml:space="preserve">sus repercusiones en la población y en el territorio. </w:t>
      </w:r>
    </w:p>
    <w:p w14:paraId="352D4FD1" w14:textId="77777777" w:rsidR="00C37732" w:rsidRPr="003E0B07" w:rsidRDefault="00C37732" w:rsidP="0038507E">
      <w:pPr>
        <w:ind w:firstLine="426"/>
        <w:contextualSpacing/>
        <w:jc w:val="both"/>
        <w:rPr>
          <w:rFonts w:eastAsia="Times New Roman"/>
          <w:bCs/>
          <w:kern w:val="18"/>
          <w:lang w:eastAsia="es-ES"/>
        </w:rPr>
      </w:pPr>
      <w:r w:rsidRPr="003E0B07">
        <w:rPr>
          <w:rFonts w:eastAsia="Times New Roman"/>
          <w:bCs/>
          <w:kern w:val="18"/>
          <w:lang w:eastAsia="es-ES"/>
        </w:rPr>
        <w:t>La presencia y la integración de las variables a partir de las que sopesar la vulnerabilidad y precisar el grado de detalle de su evaluación están subordinadas, en lo esencial, a la escala de análisis a emplear y a la disponibilidad de datos al respecto: en el primer caso, porque puede ser continental, nacional, regional o local (Ruiz Pérez, 2011</w:t>
      </w:r>
      <w:r>
        <w:rPr>
          <w:rFonts w:eastAsia="Times New Roman"/>
          <w:bCs/>
          <w:kern w:val="18"/>
          <w:lang w:eastAsia="es-ES"/>
        </w:rPr>
        <w:t xml:space="preserve">, p. </w:t>
      </w:r>
      <w:r w:rsidRPr="003E0B07">
        <w:rPr>
          <w:rFonts w:eastAsia="Times New Roman"/>
          <w:bCs/>
          <w:kern w:val="18"/>
          <w:lang w:eastAsia="es-ES"/>
        </w:rPr>
        <w:t xml:space="preserve">47); en el segundo, </w:t>
      </w:r>
      <w:r>
        <w:rPr>
          <w:rFonts w:eastAsia="Times New Roman"/>
          <w:bCs/>
          <w:kern w:val="18"/>
          <w:lang w:eastAsia="es-ES"/>
        </w:rPr>
        <w:t>porque</w:t>
      </w:r>
      <w:r w:rsidRPr="003E0B07">
        <w:rPr>
          <w:rFonts w:eastAsia="Times New Roman"/>
          <w:bCs/>
          <w:kern w:val="18"/>
          <w:lang w:eastAsia="es-ES"/>
        </w:rPr>
        <w:t xml:space="preserve"> el volumen óptimo de registros no es siempre alcanzable. La combinación de estos dos aspectos introduce un margen de heterogeneidad y diferenciación espacial apreciable en su análisis. De ahí que sea de gran utilidad, desde una óptica geográfica, el tratamiento y la representación cartográfica de la información a </w:t>
      </w:r>
      <w:r>
        <w:rPr>
          <w:rFonts w:eastAsia="Times New Roman"/>
          <w:bCs/>
          <w:kern w:val="18"/>
          <w:lang w:eastAsia="es-ES"/>
        </w:rPr>
        <w:t>escala</w:t>
      </w:r>
      <w:r w:rsidRPr="003E0B07">
        <w:rPr>
          <w:rFonts w:eastAsia="Times New Roman"/>
          <w:bCs/>
          <w:kern w:val="18"/>
          <w:lang w:eastAsia="es-ES"/>
        </w:rPr>
        <w:t xml:space="preserve"> local para evaluar, planificar y mitigar el riesgo. </w:t>
      </w:r>
    </w:p>
    <w:p w14:paraId="2D441147" w14:textId="2757A6F6" w:rsidR="001A3E72" w:rsidRPr="003E0B07" w:rsidRDefault="00C37732" w:rsidP="001A3E72">
      <w:pPr>
        <w:ind w:firstLine="426"/>
        <w:contextualSpacing/>
        <w:jc w:val="both"/>
        <w:rPr>
          <w:rFonts w:eastAsia="Times New Roman"/>
          <w:bCs/>
          <w:kern w:val="18"/>
          <w:lang w:eastAsia="es-ES"/>
        </w:rPr>
      </w:pPr>
      <w:r w:rsidRPr="003E0B07">
        <w:rPr>
          <w:rFonts w:eastAsia="Times New Roman"/>
          <w:bCs/>
          <w:kern w:val="18"/>
          <w:lang w:eastAsia="es-ES"/>
        </w:rPr>
        <w:t>Partiendo de estas consideraciones, la finalidad de</w:t>
      </w:r>
      <w:r>
        <w:rPr>
          <w:rFonts w:eastAsia="Times New Roman"/>
          <w:bCs/>
          <w:kern w:val="18"/>
          <w:lang w:eastAsia="es-ES"/>
        </w:rPr>
        <w:t>l</w:t>
      </w:r>
      <w:r w:rsidRPr="003E0B07">
        <w:rPr>
          <w:rFonts w:eastAsia="Times New Roman"/>
          <w:bCs/>
          <w:kern w:val="18"/>
          <w:lang w:eastAsia="es-ES"/>
        </w:rPr>
        <w:t xml:space="preserve"> </w:t>
      </w:r>
      <w:r>
        <w:rPr>
          <w:rFonts w:eastAsia="Times New Roman"/>
          <w:bCs/>
          <w:kern w:val="18"/>
          <w:lang w:eastAsia="es-ES"/>
        </w:rPr>
        <w:t>presente</w:t>
      </w:r>
      <w:r w:rsidRPr="003E0B07">
        <w:rPr>
          <w:rFonts w:eastAsia="Times New Roman"/>
          <w:bCs/>
          <w:kern w:val="18"/>
          <w:lang w:eastAsia="es-ES"/>
        </w:rPr>
        <w:t xml:space="preserve"> trabajo es realizar una aproximación a un método de valoración y zonificación, a escala de parcela catastral, de la vulnerabilidad frente al riesgo de inundación. Para ello, la labor a efectuar se orienta, de un lado, al establecimiento de indicadores cualitativos de amenaza-exposición y vulnerabilidad, previa clasificación de los elementos en riesgo; y, de otro, a comprobar su viabilidad mediante la aplicación en espacios sensibles a las avenidas, de los que son exponentes claros los municipios de Arona y Adeje en el suroeste </w:t>
      </w:r>
      <w:r w:rsidRPr="00596B1E">
        <w:rPr>
          <w:rFonts w:eastAsia="Times New Roman"/>
          <w:bCs/>
          <w:kern w:val="18"/>
          <w:lang w:eastAsia="es-ES"/>
        </w:rPr>
        <w:t>de Tenerife</w:t>
      </w:r>
      <w:r w:rsidRPr="003E0B07">
        <w:rPr>
          <w:rFonts w:eastAsia="Times New Roman"/>
          <w:bCs/>
          <w:kern w:val="18"/>
          <w:lang w:eastAsia="es-ES"/>
        </w:rPr>
        <w:t xml:space="preserve">. Su elección deriva de la concurrencia de diversos factores medioambientales y socioeconómicos, que propician, al igual que en otras regiones del globo, situaciones de peligro. Entre ellos cabe destacar el ser áreas costeras con alto grado de ocupación, regímenes pluviométricos áridos </w:t>
      </w:r>
      <w:r>
        <w:rPr>
          <w:rFonts w:eastAsia="Times New Roman"/>
          <w:bCs/>
          <w:kern w:val="18"/>
          <w:lang w:eastAsia="es-ES"/>
        </w:rPr>
        <w:t>con</w:t>
      </w:r>
      <w:r w:rsidRPr="003E0B07">
        <w:rPr>
          <w:rFonts w:eastAsia="Times New Roman"/>
          <w:bCs/>
          <w:kern w:val="18"/>
          <w:lang w:eastAsia="es-ES"/>
        </w:rPr>
        <w:t xml:space="preserve"> escorrentías esporádicas pero violentas y una actividad económica basada en el turismo, al que se debe una urbanización rápida y falta, por lo común, de planificación </w:t>
      </w:r>
      <w:r>
        <w:rPr>
          <w:rFonts w:eastAsia="Times New Roman"/>
          <w:bCs/>
          <w:kern w:val="18"/>
          <w:lang w:eastAsia="es-ES"/>
        </w:rPr>
        <w:t>adaptada al medio</w:t>
      </w:r>
      <w:r w:rsidRPr="003E0B07">
        <w:rPr>
          <w:rFonts w:eastAsia="Times New Roman"/>
          <w:bCs/>
          <w:kern w:val="18"/>
          <w:lang w:eastAsia="es-ES"/>
        </w:rPr>
        <w:t xml:space="preserve">. </w:t>
      </w:r>
    </w:p>
    <w:p w14:paraId="2EC86801" w14:textId="77777777" w:rsidR="00C37732" w:rsidRPr="003E0B07" w:rsidRDefault="00C37732" w:rsidP="00C37732">
      <w:pPr>
        <w:contextualSpacing/>
        <w:jc w:val="both"/>
        <w:outlineLvl w:val="0"/>
        <w:rPr>
          <w:rFonts w:eastAsia="Times New Roman"/>
          <w:b/>
          <w:bCs/>
          <w:kern w:val="18"/>
          <w:lang w:eastAsia="es-ES"/>
        </w:rPr>
      </w:pPr>
    </w:p>
    <w:p w14:paraId="594ABA31" w14:textId="77777777" w:rsidR="00C37732" w:rsidRPr="003E0B07" w:rsidRDefault="00C37732" w:rsidP="00C37732">
      <w:pPr>
        <w:contextualSpacing/>
        <w:jc w:val="both"/>
        <w:outlineLvl w:val="0"/>
        <w:rPr>
          <w:rFonts w:eastAsia="Times New Roman"/>
          <w:b/>
          <w:bCs/>
          <w:kern w:val="18"/>
          <w:lang w:eastAsia="es-ES"/>
        </w:rPr>
      </w:pPr>
      <w:r w:rsidRPr="003E0B07">
        <w:rPr>
          <w:rFonts w:eastAsia="Times New Roman"/>
          <w:b/>
          <w:bCs/>
          <w:kern w:val="18"/>
          <w:lang w:eastAsia="es-ES"/>
        </w:rPr>
        <w:t>2. EL ÁREA DE ESTUDIO</w:t>
      </w:r>
      <w:r>
        <w:rPr>
          <w:rFonts w:eastAsia="Times New Roman"/>
          <w:b/>
          <w:bCs/>
          <w:kern w:val="18"/>
          <w:lang w:eastAsia="es-ES"/>
        </w:rPr>
        <w:t xml:space="preserve"> </w:t>
      </w:r>
      <w:r w:rsidRPr="003E0B07">
        <w:rPr>
          <w:rFonts w:eastAsia="Times New Roman"/>
          <w:b/>
          <w:bCs/>
          <w:kern w:val="18"/>
          <w:lang w:eastAsia="es-ES"/>
        </w:rPr>
        <w:t>EN UN CONTEXTO DE RIESGO</w:t>
      </w:r>
    </w:p>
    <w:p w14:paraId="22D5BCC0" w14:textId="7BF8A81F" w:rsidR="00C37732" w:rsidRDefault="00C37732" w:rsidP="0038507E">
      <w:pPr>
        <w:ind w:firstLine="426"/>
        <w:contextualSpacing/>
        <w:jc w:val="both"/>
        <w:rPr>
          <w:rFonts w:eastAsia="Times New Roman"/>
          <w:bCs/>
          <w:kern w:val="18"/>
          <w:lang w:eastAsia="es-ES"/>
        </w:rPr>
      </w:pPr>
      <w:r w:rsidRPr="003E0B07">
        <w:rPr>
          <w:rFonts w:eastAsia="Times New Roman"/>
          <w:bCs/>
          <w:kern w:val="18"/>
          <w:lang w:eastAsia="es-ES"/>
        </w:rPr>
        <w:lastRenderedPageBreak/>
        <w:t>El ámbito objeto de análisis es una franja de 16,2 km</w:t>
      </w:r>
      <w:r w:rsidRPr="003E0B07">
        <w:rPr>
          <w:rFonts w:eastAsia="Times New Roman"/>
          <w:bCs/>
          <w:kern w:val="18"/>
          <w:vertAlign w:val="superscript"/>
          <w:lang w:eastAsia="es-ES"/>
        </w:rPr>
        <w:t>2</w:t>
      </w:r>
      <w:r w:rsidRPr="003E0B07">
        <w:rPr>
          <w:rFonts w:eastAsia="Times New Roman"/>
          <w:bCs/>
          <w:kern w:val="18"/>
          <w:lang w:eastAsia="es-ES"/>
        </w:rPr>
        <w:t>, que se extiende a lo largo de los 19,1 km del litoral de Arona y Adeje y los</w:t>
      </w:r>
      <w:r>
        <w:rPr>
          <w:rFonts w:eastAsia="Times New Roman"/>
          <w:bCs/>
          <w:kern w:val="18"/>
          <w:lang w:eastAsia="es-ES"/>
        </w:rPr>
        <w:t xml:space="preserve"> </w:t>
      </w:r>
      <w:r w:rsidRPr="003E0B07">
        <w:rPr>
          <w:rFonts w:eastAsia="Times New Roman"/>
          <w:bCs/>
          <w:kern w:val="18"/>
          <w:lang w:eastAsia="es-ES"/>
        </w:rPr>
        <w:t>100 metros de altitud. Se trata de un espacio de vocación turística manifiesta, considerando su pertenencia a los dos municipios que albergan no solo los centros neurálgicos del turismo tinerfeño, sino también de los más importantes de España (Figura 1). Lo evidencia el volumen de su</w:t>
      </w:r>
      <w:r>
        <w:rPr>
          <w:rFonts w:eastAsia="Times New Roman"/>
          <w:bCs/>
          <w:kern w:val="18"/>
          <w:lang w:eastAsia="es-ES"/>
        </w:rPr>
        <w:t xml:space="preserve"> infraestructura</w:t>
      </w:r>
      <w:r w:rsidRPr="003E0B07">
        <w:rPr>
          <w:rFonts w:eastAsia="Times New Roman"/>
          <w:bCs/>
          <w:kern w:val="18"/>
          <w:lang w:eastAsia="es-ES"/>
        </w:rPr>
        <w:t xml:space="preserve"> </w:t>
      </w:r>
      <w:r>
        <w:rPr>
          <w:rFonts w:eastAsia="Times New Roman"/>
          <w:bCs/>
          <w:kern w:val="18"/>
          <w:lang w:eastAsia="es-ES"/>
        </w:rPr>
        <w:t>y</w:t>
      </w:r>
      <w:r w:rsidRPr="003E0B07">
        <w:rPr>
          <w:rFonts w:eastAsia="Times New Roman"/>
          <w:bCs/>
          <w:kern w:val="18"/>
          <w:lang w:eastAsia="es-ES"/>
        </w:rPr>
        <w:t xml:space="preserve"> una oferta </w:t>
      </w:r>
      <w:proofErr w:type="spellStart"/>
      <w:r w:rsidRPr="003E0B07">
        <w:rPr>
          <w:rFonts w:eastAsia="Times New Roman"/>
          <w:bCs/>
          <w:kern w:val="18"/>
          <w:lang w:eastAsia="es-ES"/>
        </w:rPr>
        <w:t>alojativa</w:t>
      </w:r>
      <w:proofErr w:type="spellEnd"/>
      <w:r w:rsidRPr="003E0B07">
        <w:rPr>
          <w:rFonts w:eastAsia="Times New Roman"/>
          <w:bCs/>
          <w:kern w:val="18"/>
          <w:lang w:eastAsia="es-ES"/>
        </w:rPr>
        <w:t xml:space="preserve"> en 2018</w:t>
      </w:r>
      <w:r>
        <w:rPr>
          <w:rFonts w:eastAsia="Times New Roman"/>
          <w:bCs/>
          <w:kern w:val="18"/>
          <w:lang w:eastAsia="es-ES"/>
        </w:rPr>
        <w:t xml:space="preserve"> de</w:t>
      </w:r>
      <w:r w:rsidRPr="003E0B07">
        <w:rPr>
          <w:rFonts w:eastAsia="Times New Roman"/>
          <w:bCs/>
          <w:kern w:val="18"/>
          <w:lang w:eastAsia="es-ES"/>
        </w:rPr>
        <w:t xml:space="preserve"> 91.266 plazas</w:t>
      </w:r>
      <w:r>
        <w:rPr>
          <w:rFonts w:eastAsia="Times New Roman"/>
          <w:bCs/>
          <w:kern w:val="18"/>
          <w:lang w:eastAsia="es-ES"/>
        </w:rPr>
        <w:t xml:space="preserve"> con una</w:t>
      </w:r>
      <w:r w:rsidRPr="003E0B07">
        <w:t xml:space="preserve"> </w:t>
      </w:r>
      <w:r w:rsidRPr="003E0B07">
        <w:rPr>
          <w:rFonts w:eastAsia="Times New Roman"/>
          <w:bCs/>
          <w:kern w:val="18"/>
          <w:lang w:eastAsia="es-ES"/>
        </w:rPr>
        <w:t xml:space="preserve">ocupación media anual </w:t>
      </w:r>
      <w:r>
        <w:rPr>
          <w:rFonts w:eastAsia="Times New Roman"/>
          <w:bCs/>
          <w:kern w:val="18"/>
          <w:lang w:eastAsia="es-ES"/>
        </w:rPr>
        <w:t xml:space="preserve">que </w:t>
      </w:r>
      <w:r w:rsidRPr="003E0B07">
        <w:rPr>
          <w:rFonts w:eastAsia="Times New Roman"/>
          <w:bCs/>
          <w:kern w:val="18"/>
          <w:lang w:eastAsia="es-ES"/>
        </w:rPr>
        <w:t xml:space="preserve">ronda el 73% </w:t>
      </w:r>
      <w:r>
        <w:rPr>
          <w:rFonts w:eastAsia="Times New Roman"/>
          <w:bCs/>
          <w:kern w:val="18"/>
          <w:lang w:eastAsia="es-ES"/>
        </w:rPr>
        <w:t>(I</w:t>
      </w:r>
      <w:r w:rsidRPr="003E0B07">
        <w:rPr>
          <w:rFonts w:eastAsia="Times New Roman"/>
          <w:bCs/>
          <w:kern w:val="18"/>
          <w:lang w:eastAsia="es-ES"/>
        </w:rPr>
        <w:t xml:space="preserve">STAC; </w:t>
      </w:r>
      <w:r w:rsidR="00A151A8" w:rsidRPr="00A151A8">
        <w:rPr>
          <w:rFonts w:eastAsia="Times New Roman"/>
          <w:bCs/>
          <w:kern w:val="18"/>
          <w:highlight w:val="yellow"/>
          <w:lang w:eastAsia="es-ES"/>
        </w:rPr>
        <w:t>CITA AUTOR 1</w:t>
      </w:r>
      <w:r w:rsidRPr="003E0B07">
        <w:rPr>
          <w:rFonts w:eastAsia="Times New Roman"/>
          <w:bCs/>
          <w:kern w:val="18"/>
          <w:lang w:eastAsia="es-ES"/>
        </w:rPr>
        <w:t xml:space="preserve">); a esto se suma el carecer de la estacionalidad propia de los destinos turísticos mediterráneos. </w:t>
      </w:r>
    </w:p>
    <w:p w14:paraId="7898F5E4" w14:textId="77777777" w:rsidR="0038507E" w:rsidRDefault="0038507E" w:rsidP="00C37732">
      <w:pPr>
        <w:ind w:firstLine="709"/>
        <w:contextualSpacing/>
        <w:jc w:val="both"/>
        <w:rPr>
          <w:rFonts w:eastAsia="Times New Roman"/>
          <w:bCs/>
          <w:kern w:val="18"/>
          <w:lang w:eastAsia="es-ES"/>
        </w:rPr>
      </w:pPr>
    </w:p>
    <w:p w14:paraId="4C9E8674" w14:textId="6C5B7F2D" w:rsidR="0038507E" w:rsidRDefault="0038507E" w:rsidP="0038507E">
      <w:pPr>
        <w:pStyle w:val="Cuerpodeltexto"/>
        <w:jc w:val="center"/>
      </w:pPr>
      <w:r>
        <w:t xml:space="preserve">[FIGURA </w:t>
      </w:r>
      <w:r>
        <w:t>1</w:t>
      </w:r>
      <w:r>
        <w:t>]</w:t>
      </w:r>
    </w:p>
    <w:p w14:paraId="7CB6C825" w14:textId="1F52F570" w:rsidR="00C37732" w:rsidRDefault="00C37732" w:rsidP="00C37732">
      <w:pPr>
        <w:contextualSpacing/>
        <w:rPr>
          <w:rFonts w:eastAsia="Times New Roman"/>
          <w:lang w:eastAsia="es-ES"/>
        </w:rPr>
      </w:pPr>
    </w:p>
    <w:p w14:paraId="0B292EB4" w14:textId="77777777" w:rsidR="00C37732" w:rsidRPr="0038507E" w:rsidRDefault="00C37732" w:rsidP="00C37732">
      <w:pPr>
        <w:spacing w:line="276" w:lineRule="auto"/>
        <w:contextualSpacing/>
        <w:jc w:val="both"/>
        <w:rPr>
          <w:rFonts w:eastAsia="Times New Roman"/>
          <w:sz w:val="20"/>
          <w:szCs w:val="20"/>
          <w:lang w:eastAsia="es-ES"/>
        </w:rPr>
      </w:pPr>
      <w:r w:rsidRPr="0038507E">
        <w:rPr>
          <w:rFonts w:eastAsia="Times New Roman"/>
          <w:sz w:val="20"/>
          <w:szCs w:val="20"/>
          <w:lang w:eastAsia="es-ES"/>
        </w:rPr>
        <w:t xml:space="preserve">Figura 1. Localización y delimitación del área de estudio. Costa de Arona y Adeje (SO de Tenerife). Fuente: </w:t>
      </w:r>
      <w:proofErr w:type="spellStart"/>
      <w:r w:rsidRPr="0038507E">
        <w:rPr>
          <w:rFonts w:eastAsia="Times New Roman"/>
          <w:sz w:val="20"/>
          <w:szCs w:val="20"/>
          <w:lang w:eastAsia="es-ES"/>
        </w:rPr>
        <w:t>Grafcan</w:t>
      </w:r>
      <w:proofErr w:type="spellEnd"/>
      <w:r w:rsidRPr="0038507E">
        <w:rPr>
          <w:rFonts w:eastAsia="Times New Roman"/>
          <w:sz w:val="20"/>
          <w:szCs w:val="20"/>
          <w:lang w:eastAsia="es-ES"/>
        </w:rPr>
        <w:t xml:space="preserve"> e IGN (2019).</w:t>
      </w:r>
    </w:p>
    <w:p w14:paraId="45F15B39" w14:textId="77777777" w:rsidR="00C37732" w:rsidRPr="003E0B07" w:rsidRDefault="00C37732" w:rsidP="00C37732">
      <w:pPr>
        <w:ind w:firstLine="709"/>
        <w:contextualSpacing/>
        <w:jc w:val="both"/>
      </w:pPr>
    </w:p>
    <w:p w14:paraId="57457D83" w14:textId="77777777" w:rsidR="00C37732" w:rsidRPr="003E0B07" w:rsidRDefault="00C37732" w:rsidP="0038507E">
      <w:pPr>
        <w:ind w:firstLine="426"/>
        <w:contextualSpacing/>
        <w:jc w:val="both"/>
        <w:rPr>
          <w:rFonts w:eastAsia="Times New Roman"/>
          <w:bCs/>
          <w:kern w:val="18"/>
          <w:lang w:eastAsia="es-ES"/>
        </w:rPr>
      </w:pPr>
      <w:r w:rsidRPr="003E0B07">
        <w:t>La transformación del modelado y dinámica litoral por acción antrópica es rasgo distintivo del área que se estudia, fruto de la acomodación impuesta por una industria demandante</w:t>
      </w:r>
      <w:r w:rsidRPr="00C8412A">
        <w:t>, como ocurre en todo ámbito turístico,</w:t>
      </w:r>
      <w:r w:rsidRPr="003E0B07">
        <w:t xml:space="preserve"> de espacio adecuado para satisfacer las exigencias de recreación y ocio junto al mar de un número de usuarios que no deja de aumentar (Roig, </w:t>
      </w:r>
      <w:r w:rsidRPr="003E0B07">
        <w:rPr>
          <w:i/>
        </w:rPr>
        <w:t>et al.</w:t>
      </w:r>
      <w:r w:rsidRPr="003E0B07">
        <w:t>, 2011). L</w:t>
      </w:r>
      <w:r w:rsidRPr="003E0B07">
        <w:rPr>
          <w:rFonts w:eastAsia="Times New Roman"/>
          <w:bCs/>
          <w:kern w:val="18"/>
          <w:lang w:eastAsia="es-ES"/>
        </w:rPr>
        <w:t xml:space="preserve">o que en principio era una costa jalonada por acantilados sobre coladas y depósitos sedimentarios, plataformas de abrasión y playas de cantos en terrazas y desembocadura de barrancos, ha sido sustituida por complejos residenciales, paseos marítimos, terrazas turísticas, obras portuarias y playas regeneradas de modo artificial provistas de diques de contención de arenas. La costa de Arona y Adeje es en la actualidad un continuo edificado </w:t>
      </w:r>
      <w:r w:rsidRPr="003E0B07">
        <w:t>sin espacios vacíos que completar,</w:t>
      </w:r>
      <w:r w:rsidRPr="003E0B07">
        <w:rPr>
          <w:rFonts w:eastAsia="Times New Roman"/>
          <w:bCs/>
          <w:kern w:val="18"/>
          <w:lang w:eastAsia="es-ES"/>
        </w:rPr>
        <w:t xml:space="preserve"> en el que se suceden casi sin interrupción </w:t>
      </w:r>
      <w:r w:rsidRPr="003E0B07">
        <w:t xml:space="preserve">playas urbanas, como Los Tarajales, Los Cristianos y Las Vistas, en Arona, y El Bobo, La Pinta, Torviscas, Fañabé, El Duque, en Adeje entre otras: playas definidas no tanto por </w:t>
      </w:r>
      <w:r w:rsidRPr="003E0B07">
        <w:rPr>
          <w:shd w:val="clear" w:color="auto" w:fill="FFFFFF"/>
        </w:rPr>
        <w:t xml:space="preserve">la accesibilidad y dotación de servicios de baño, como por la </w:t>
      </w:r>
      <w:r w:rsidRPr="003E0B07">
        <w:t>fragilidad y vulnerabilidad ocasionadas por la alteración de su equilibrio natural.</w:t>
      </w:r>
    </w:p>
    <w:p w14:paraId="1FECE255" w14:textId="0EED4180" w:rsidR="00C37732" w:rsidRDefault="00C37732" w:rsidP="0038507E">
      <w:pPr>
        <w:ind w:firstLine="426"/>
        <w:contextualSpacing/>
        <w:jc w:val="both"/>
      </w:pPr>
      <w:r w:rsidRPr="003E0B07">
        <w:rPr>
          <w:color w:val="000000"/>
        </w:rPr>
        <w:t xml:space="preserve">La saturación demográfica y urbanística de este litoral entronca con los </w:t>
      </w:r>
      <w:r w:rsidRPr="003E0B07">
        <w:t>cambios de uso del suelo</w:t>
      </w:r>
      <w:r w:rsidRPr="003E0B07">
        <w:rPr>
          <w:color w:val="000000"/>
        </w:rPr>
        <w:t xml:space="preserve"> registrados en Canarias desde la década de 1960 </w:t>
      </w:r>
      <w:r w:rsidRPr="003E0B07">
        <w:rPr>
          <w:rFonts w:eastAsia="Times New Roman"/>
          <w:bCs/>
          <w:kern w:val="18"/>
          <w:lang w:eastAsia="es-ES"/>
        </w:rPr>
        <w:t xml:space="preserve">por la adopción de un modelo de desarrollo turístico-urbanizador, que deriva en una </w:t>
      </w:r>
      <w:proofErr w:type="spellStart"/>
      <w:r w:rsidRPr="003E0B07">
        <w:rPr>
          <w:rFonts w:eastAsia="Times New Roman"/>
          <w:bCs/>
          <w:kern w:val="18"/>
          <w:lang w:eastAsia="es-ES"/>
        </w:rPr>
        <w:t>litoralización</w:t>
      </w:r>
      <w:proofErr w:type="spellEnd"/>
      <w:r w:rsidRPr="003E0B07">
        <w:rPr>
          <w:rFonts w:eastAsia="Times New Roman"/>
          <w:bCs/>
          <w:kern w:val="18"/>
          <w:lang w:eastAsia="es-ES"/>
        </w:rPr>
        <w:t xml:space="preserve"> inusitada del territorio insular (Pérez-Chacón </w:t>
      </w:r>
      <w:r w:rsidRPr="003E0B07">
        <w:rPr>
          <w:rFonts w:eastAsia="Times New Roman"/>
          <w:bCs/>
          <w:i/>
          <w:kern w:val="18"/>
          <w:lang w:eastAsia="es-ES"/>
        </w:rPr>
        <w:t>et al</w:t>
      </w:r>
      <w:r w:rsidRPr="003E0B07">
        <w:rPr>
          <w:rFonts w:eastAsia="Times New Roman"/>
          <w:bCs/>
          <w:kern w:val="18"/>
          <w:lang w:eastAsia="es-ES"/>
        </w:rPr>
        <w:t>., 2007)</w:t>
      </w:r>
      <w:r w:rsidRPr="003E0B07">
        <w:rPr>
          <w:color w:val="000000"/>
        </w:rPr>
        <w:t xml:space="preserve">. Muestra de ello es la evolución de Arona y Adeje desde </w:t>
      </w:r>
      <w:r w:rsidRPr="003E0B07">
        <w:t xml:space="preserve">una agricultura marginal de secano y cultivos bajo plástico a una explotación de su frente de mar por una industria de ocio y recreación ligada al turismo de sol y playa (Figura 2). </w:t>
      </w:r>
    </w:p>
    <w:p w14:paraId="3EF673BD" w14:textId="77777777" w:rsidR="0038507E" w:rsidRDefault="0038507E" w:rsidP="00C37732">
      <w:pPr>
        <w:ind w:firstLine="709"/>
        <w:contextualSpacing/>
        <w:jc w:val="both"/>
      </w:pPr>
    </w:p>
    <w:p w14:paraId="15880812" w14:textId="21286B73" w:rsidR="0038507E" w:rsidRDefault="0038507E" w:rsidP="0038507E">
      <w:pPr>
        <w:pStyle w:val="Cuerpodeltexto"/>
        <w:jc w:val="center"/>
      </w:pPr>
      <w:r>
        <w:t xml:space="preserve">[FIGURA </w:t>
      </w:r>
      <w:r>
        <w:t>2</w:t>
      </w:r>
      <w:r>
        <w:t>]</w:t>
      </w:r>
    </w:p>
    <w:p w14:paraId="26AEE9FA" w14:textId="77777777" w:rsidR="0038507E" w:rsidRPr="003E0B07" w:rsidRDefault="0038507E" w:rsidP="0038507E">
      <w:pPr>
        <w:pStyle w:val="Cuerpodeltexto"/>
        <w:jc w:val="center"/>
      </w:pPr>
    </w:p>
    <w:p w14:paraId="5DB3A541" w14:textId="77777777" w:rsidR="00C37732" w:rsidRPr="0038507E" w:rsidRDefault="00C37732" w:rsidP="00C37732">
      <w:pPr>
        <w:spacing w:line="276" w:lineRule="auto"/>
        <w:contextualSpacing/>
        <w:jc w:val="both"/>
      </w:pPr>
      <w:r w:rsidRPr="0038507E">
        <w:rPr>
          <w:sz w:val="20"/>
          <w:szCs w:val="20"/>
        </w:rPr>
        <w:lastRenderedPageBreak/>
        <w:t>Figura 2: Cambio de usos del suelo en la costa de Los Cristianos, en el SE de Arona (SO de Tenerife): del secano agrícola en la primera mitad del siglo XX al desarrollo turístico actual. Fuente: Anónima (imagen izquierda) y Autores (imagen derecha).</w:t>
      </w:r>
    </w:p>
    <w:p w14:paraId="4FD7884D" w14:textId="77777777" w:rsidR="00C37732" w:rsidRDefault="00C37732" w:rsidP="00C37732">
      <w:pPr>
        <w:ind w:firstLine="709"/>
        <w:contextualSpacing/>
        <w:jc w:val="both"/>
        <w:rPr>
          <w:color w:val="000000"/>
        </w:rPr>
      </w:pPr>
    </w:p>
    <w:p w14:paraId="1A94DC13" w14:textId="4D4B9DE0" w:rsidR="00C37732" w:rsidRPr="003E0B07" w:rsidRDefault="00C37732" w:rsidP="0038507E">
      <w:pPr>
        <w:ind w:firstLine="426"/>
        <w:contextualSpacing/>
        <w:jc w:val="both"/>
        <w:rPr>
          <w:rFonts w:eastAsia="Times New Roman"/>
          <w:bCs/>
          <w:kern w:val="18"/>
          <w:lang w:eastAsia="es-ES"/>
        </w:rPr>
      </w:pPr>
      <w:r>
        <w:rPr>
          <w:color w:val="000000"/>
        </w:rPr>
        <w:t xml:space="preserve">Estas localidades </w:t>
      </w:r>
      <w:r w:rsidRPr="003E0B07">
        <w:rPr>
          <w:color w:val="000000"/>
        </w:rPr>
        <w:t xml:space="preserve">suman a los efectos negativos de una utilización social creciente de su costa los riesgos que pueda ocasionar </w:t>
      </w:r>
      <w:r>
        <w:rPr>
          <w:color w:val="000000"/>
        </w:rPr>
        <w:t xml:space="preserve">la </w:t>
      </w:r>
      <w:r w:rsidRPr="003E0B07">
        <w:t xml:space="preserve">escorrentía, cuando se produce. </w:t>
      </w:r>
      <w:r>
        <w:t xml:space="preserve">Por ellas discurre </w:t>
      </w:r>
      <w:r>
        <w:rPr>
          <w:rFonts w:eastAsia="Times New Roman"/>
          <w:bCs/>
          <w:kern w:val="18"/>
          <w:lang w:eastAsia="es-ES"/>
        </w:rPr>
        <w:t>e</w:t>
      </w:r>
      <w:r w:rsidRPr="003E0B07">
        <w:rPr>
          <w:rFonts w:eastAsia="Times New Roman"/>
          <w:bCs/>
          <w:kern w:val="18"/>
          <w:lang w:eastAsia="es-ES"/>
        </w:rPr>
        <w:t xml:space="preserve">l tramo final de los barrancos de 16 cuencas-vertientes alargadas-muy alargadas, que la erosión ha </w:t>
      </w:r>
      <w:r w:rsidRPr="003E0B07">
        <w:t>abierto</w:t>
      </w:r>
      <w:r w:rsidRPr="003E0B07">
        <w:rPr>
          <w:rFonts w:eastAsia="Times New Roman"/>
          <w:bCs/>
          <w:kern w:val="18"/>
          <w:lang w:eastAsia="es-ES"/>
        </w:rPr>
        <w:t xml:space="preserve"> en los </w:t>
      </w:r>
      <w:r w:rsidRPr="003E0B07">
        <w:t xml:space="preserve">mantos piroclásticos y coladas fonolíticas, </w:t>
      </w:r>
      <w:proofErr w:type="spellStart"/>
      <w:r w:rsidRPr="003E0B07">
        <w:t>traquíticas</w:t>
      </w:r>
      <w:proofErr w:type="spellEnd"/>
      <w:r w:rsidRPr="003E0B07">
        <w:t xml:space="preserve"> y basálticas procedentes de las erupciones acontecidas en el dorso meridional de la Caldera de Las Cañadas del Teide en los 2 últimos millones de años (</w:t>
      </w:r>
      <w:proofErr w:type="spellStart"/>
      <w:r w:rsidRPr="003E0B07">
        <w:t>Kereszturi</w:t>
      </w:r>
      <w:proofErr w:type="spellEnd"/>
      <w:r w:rsidRPr="003E0B07">
        <w:t xml:space="preserve"> </w:t>
      </w:r>
      <w:r w:rsidRPr="003E0B07">
        <w:rPr>
          <w:i/>
        </w:rPr>
        <w:t>et al</w:t>
      </w:r>
      <w:r w:rsidRPr="003E0B07">
        <w:t xml:space="preserve">., 2013). Constituyen en </w:t>
      </w:r>
      <w:r w:rsidRPr="003E0B07">
        <w:rPr>
          <w:rFonts w:eastAsia="Times New Roman"/>
          <w:bCs/>
          <w:kern w:val="18"/>
          <w:lang w:eastAsia="es-ES"/>
        </w:rPr>
        <w:t>conjunto espacios hídricos de orden 2 y 3 (</w:t>
      </w:r>
      <w:r w:rsidRPr="003E0B07">
        <w:t>63%) con una extensión media de 0,65 a 3,5 km</w:t>
      </w:r>
      <w:r w:rsidRPr="003E0B07">
        <w:rPr>
          <w:vertAlign w:val="superscript"/>
        </w:rPr>
        <w:t>2</w:t>
      </w:r>
      <w:r w:rsidRPr="003E0B07">
        <w:t>, seguidos a cierta distancia por otros de rango 4 y 5 (25%) de entre 4,4 y 35 km</w:t>
      </w:r>
      <w:r w:rsidRPr="003E0B07">
        <w:rPr>
          <w:vertAlign w:val="superscript"/>
        </w:rPr>
        <w:t>2</w:t>
      </w:r>
      <w:r w:rsidRPr="003E0B07">
        <w:t xml:space="preserve"> de superficie. </w:t>
      </w:r>
      <w:r w:rsidRPr="003E0B07">
        <w:rPr>
          <w:bCs/>
        </w:rPr>
        <w:t>Unos y otros son surcados por cauces secos d</w:t>
      </w:r>
      <w:r w:rsidRPr="003E0B07">
        <w:rPr>
          <w:rFonts w:eastAsia="Times New Roman"/>
          <w:bCs/>
          <w:kern w:val="18"/>
          <w:lang w:eastAsia="es-ES"/>
        </w:rPr>
        <w:t>e funcionamiento ocasional y acusada torrencialidad, en respuesta a la aridez climática imperante (</w:t>
      </w:r>
      <w:r w:rsidR="00A151A8" w:rsidRPr="00A151A8">
        <w:rPr>
          <w:bCs/>
          <w:highlight w:val="yellow"/>
        </w:rPr>
        <w:t>CITA AUTOR 1</w:t>
      </w:r>
      <w:r w:rsidRPr="003E0B07">
        <w:rPr>
          <w:rFonts w:eastAsia="Times New Roman"/>
          <w:bCs/>
          <w:kern w:val="18"/>
          <w:lang w:eastAsia="es-ES"/>
        </w:rPr>
        <w:t xml:space="preserve">), ya que la precipitación media anual es </w:t>
      </w:r>
      <w:r w:rsidRPr="00CA7C01">
        <w:rPr>
          <w:rFonts w:eastAsia="Times New Roman"/>
          <w:bCs/>
          <w:kern w:val="18"/>
          <w:lang w:eastAsia="es-ES"/>
        </w:rPr>
        <w:t>de 145 mm en el observatorio de Adeje</w:t>
      </w:r>
      <w:r>
        <w:rPr>
          <w:rFonts w:eastAsia="Times New Roman"/>
          <w:bCs/>
          <w:kern w:val="18"/>
          <w:lang w:eastAsia="es-ES"/>
        </w:rPr>
        <w:t>,</w:t>
      </w:r>
      <w:r w:rsidRPr="003E0B07">
        <w:rPr>
          <w:rFonts w:eastAsia="Times New Roman"/>
          <w:bCs/>
          <w:kern w:val="18"/>
          <w:lang w:eastAsia="es-ES"/>
        </w:rPr>
        <w:t xml:space="preserve"> </w:t>
      </w:r>
      <w:r>
        <w:rPr>
          <w:rFonts w:eastAsia="Times New Roman"/>
          <w:bCs/>
          <w:kern w:val="18"/>
          <w:lang w:eastAsia="es-ES"/>
        </w:rPr>
        <w:t xml:space="preserve">aunque </w:t>
      </w:r>
      <w:r w:rsidRPr="003E0B07">
        <w:rPr>
          <w:rFonts w:eastAsia="Times New Roman"/>
          <w:bCs/>
          <w:kern w:val="18"/>
          <w:lang w:eastAsia="es-ES"/>
        </w:rPr>
        <w:t>se han registrado eventos extremos de más de 158 mm en 24</w:t>
      </w:r>
      <w:r>
        <w:rPr>
          <w:rFonts w:eastAsia="Times New Roman"/>
          <w:bCs/>
          <w:kern w:val="18"/>
          <w:lang w:eastAsia="es-ES"/>
        </w:rPr>
        <w:t xml:space="preserve"> </w:t>
      </w:r>
      <w:r w:rsidRPr="003E0B07">
        <w:rPr>
          <w:rFonts w:eastAsia="Times New Roman"/>
          <w:bCs/>
          <w:kern w:val="18"/>
          <w:lang w:eastAsia="es-ES"/>
        </w:rPr>
        <w:t>h (</w:t>
      </w:r>
      <w:r>
        <w:rPr>
          <w:rFonts w:eastAsia="Times New Roman"/>
          <w:bCs/>
          <w:kern w:val="18"/>
          <w:lang w:eastAsia="es-ES"/>
        </w:rPr>
        <w:t>AEMET</w:t>
      </w:r>
      <w:r w:rsidRPr="003E0B07">
        <w:rPr>
          <w:rFonts w:eastAsia="Times New Roman"/>
          <w:bCs/>
          <w:kern w:val="18"/>
          <w:lang w:eastAsia="es-ES"/>
        </w:rPr>
        <w:t xml:space="preserve">, 2018). En este contexto, es muy relevante la capacidad de respuesta de tales cauces a unas lluvias que, por su gran concentración espacial y temporal, pueden causar inundaciones en el curso bajo y desembocadura de muchos </w:t>
      </w:r>
      <w:r>
        <w:rPr>
          <w:rFonts w:eastAsia="Times New Roman"/>
          <w:bCs/>
          <w:kern w:val="18"/>
          <w:lang w:eastAsia="es-ES"/>
        </w:rPr>
        <w:t>barrancos</w:t>
      </w:r>
      <w:r w:rsidRPr="003E0B07">
        <w:rPr>
          <w:rFonts w:eastAsia="Times New Roman"/>
          <w:bCs/>
          <w:kern w:val="18"/>
          <w:lang w:eastAsia="es-ES"/>
        </w:rPr>
        <w:t xml:space="preserve">, </w:t>
      </w:r>
      <w:r>
        <w:rPr>
          <w:rFonts w:eastAsia="Times New Roman"/>
          <w:bCs/>
          <w:kern w:val="18"/>
          <w:lang w:eastAsia="es-ES"/>
        </w:rPr>
        <w:t xml:space="preserve">coincidiendo con el emplazamiento de la </w:t>
      </w:r>
      <w:r w:rsidRPr="003E0B07">
        <w:rPr>
          <w:rFonts w:eastAsia="Times New Roman"/>
          <w:bCs/>
          <w:kern w:val="18"/>
          <w:lang w:eastAsia="es-ES"/>
        </w:rPr>
        <w:t>mayoría de las infraestructuras y de la urbanización.</w:t>
      </w:r>
    </w:p>
    <w:p w14:paraId="5BCB802B" w14:textId="77777777" w:rsidR="00C37732" w:rsidRDefault="00C37732" w:rsidP="0038507E">
      <w:pPr>
        <w:ind w:firstLine="426"/>
        <w:contextualSpacing/>
        <w:jc w:val="both"/>
        <w:rPr>
          <w:rFonts w:eastAsia="Times New Roman"/>
          <w:bCs/>
          <w:kern w:val="18"/>
          <w:lang w:eastAsia="es-ES"/>
        </w:rPr>
      </w:pPr>
      <w:r w:rsidRPr="003E0B07">
        <w:rPr>
          <w:rFonts w:eastAsia="Times New Roman"/>
          <w:bCs/>
          <w:kern w:val="18"/>
          <w:lang w:eastAsia="es-ES"/>
        </w:rPr>
        <w:t xml:space="preserve">El peligro de avenidas está ligado en este territorio a una rápida expansión urbana propiciada por al auge de la actividad turística, con un ritmo constructivo </w:t>
      </w:r>
      <w:r>
        <w:rPr>
          <w:rFonts w:eastAsia="Times New Roman"/>
          <w:bCs/>
          <w:kern w:val="18"/>
          <w:lang w:eastAsia="es-ES"/>
        </w:rPr>
        <w:t xml:space="preserve">más o menos </w:t>
      </w:r>
      <w:r w:rsidRPr="003E0B07">
        <w:rPr>
          <w:rFonts w:eastAsia="Times New Roman"/>
          <w:bCs/>
          <w:kern w:val="18"/>
          <w:lang w:eastAsia="es-ES"/>
        </w:rPr>
        <w:t xml:space="preserve">constante desde la década de 1970. En este marco, la urbanización progresa espacialmente de sureste a noroeste y desde el litoral hacia el interior, pues las edificaciones más antiguas corresponden al núcleo de Los Cristianos, en Arona, mientras las intervenciones más recientes se desarrollan desde Costa Adeje hacia La Caleta, en Adeje (Figura </w:t>
      </w:r>
      <w:r>
        <w:rPr>
          <w:rFonts w:eastAsia="Times New Roman"/>
          <w:bCs/>
          <w:kern w:val="18"/>
          <w:lang w:eastAsia="es-ES"/>
        </w:rPr>
        <w:t>3</w:t>
      </w:r>
      <w:r w:rsidRPr="003E0B07">
        <w:rPr>
          <w:rFonts w:eastAsia="Times New Roman"/>
          <w:bCs/>
          <w:kern w:val="18"/>
          <w:lang w:eastAsia="es-ES"/>
        </w:rPr>
        <w:t xml:space="preserve">). </w:t>
      </w:r>
    </w:p>
    <w:p w14:paraId="0A0EBF1A" w14:textId="77777777" w:rsidR="0038507E" w:rsidRDefault="0038507E" w:rsidP="0038507E">
      <w:pPr>
        <w:pStyle w:val="Cuerpodeltexto"/>
        <w:jc w:val="center"/>
      </w:pPr>
    </w:p>
    <w:p w14:paraId="311EEA49" w14:textId="2E47B676" w:rsidR="0038507E" w:rsidRDefault="0038507E" w:rsidP="0038507E">
      <w:pPr>
        <w:pStyle w:val="Cuerpodeltexto"/>
        <w:jc w:val="center"/>
      </w:pPr>
      <w:r>
        <w:t xml:space="preserve">[FIGURA </w:t>
      </w:r>
      <w:r>
        <w:t>3</w:t>
      </w:r>
      <w:r>
        <w:t>]</w:t>
      </w:r>
    </w:p>
    <w:p w14:paraId="2900E576" w14:textId="4A8A279F" w:rsidR="00C37732" w:rsidRDefault="00C37732" w:rsidP="00C37732">
      <w:pPr>
        <w:contextualSpacing/>
        <w:jc w:val="both"/>
        <w:rPr>
          <w:rFonts w:eastAsia="Times New Roman"/>
          <w:lang w:eastAsia="es-ES"/>
        </w:rPr>
      </w:pPr>
    </w:p>
    <w:p w14:paraId="226FB2AA" w14:textId="77777777" w:rsidR="00C37732" w:rsidRPr="0038507E" w:rsidRDefault="00C37732" w:rsidP="00C37732">
      <w:pPr>
        <w:spacing w:line="276" w:lineRule="auto"/>
        <w:contextualSpacing/>
        <w:jc w:val="both"/>
        <w:rPr>
          <w:rFonts w:eastAsia="Times New Roman"/>
          <w:bCs/>
          <w:kern w:val="18"/>
          <w:sz w:val="20"/>
          <w:szCs w:val="20"/>
          <w:lang w:eastAsia="es-ES"/>
        </w:rPr>
      </w:pPr>
      <w:r w:rsidRPr="0038507E">
        <w:rPr>
          <w:rFonts w:eastAsia="Times New Roman"/>
          <w:sz w:val="20"/>
          <w:szCs w:val="20"/>
          <w:lang w:eastAsia="es-ES"/>
        </w:rPr>
        <w:t xml:space="preserve">Figura 3. Antigüedad de las edificaciones en la costa de Arona y Adeje (SO de Tenerife). Fuente: Catastro; </w:t>
      </w:r>
      <w:proofErr w:type="spellStart"/>
      <w:r w:rsidRPr="0038507E">
        <w:rPr>
          <w:rFonts w:eastAsia="Times New Roman"/>
          <w:sz w:val="20"/>
          <w:szCs w:val="20"/>
          <w:lang w:eastAsia="es-ES"/>
        </w:rPr>
        <w:t>Grafcan</w:t>
      </w:r>
      <w:proofErr w:type="spellEnd"/>
      <w:r w:rsidRPr="0038507E">
        <w:rPr>
          <w:rFonts w:eastAsia="Times New Roman"/>
          <w:sz w:val="20"/>
          <w:szCs w:val="20"/>
          <w:lang w:eastAsia="es-ES"/>
        </w:rPr>
        <w:t>; y PNOA (2019)</w:t>
      </w:r>
    </w:p>
    <w:p w14:paraId="3225F295" w14:textId="77777777" w:rsidR="00C37732" w:rsidRDefault="00C37732" w:rsidP="00C37732">
      <w:pPr>
        <w:ind w:firstLine="709"/>
        <w:contextualSpacing/>
        <w:jc w:val="both"/>
        <w:rPr>
          <w:rFonts w:eastAsia="Times New Roman"/>
          <w:bCs/>
          <w:kern w:val="18"/>
          <w:lang w:eastAsia="es-ES"/>
        </w:rPr>
      </w:pPr>
    </w:p>
    <w:p w14:paraId="74D81B43" w14:textId="77777777" w:rsidR="00C37732" w:rsidRPr="003E0B07" w:rsidRDefault="00C37732" w:rsidP="0038507E">
      <w:pPr>
        <w:ind w:firstLine="426"/>
        <w:contextualSpacing/>
        <w:jc w:val="both"/>
        <w:rPr>
          <w:rFonts w:eastAsia="Times New Roman"/>
          <w:bCs/>
          <w:kern w:val="18"/>
          <w:lang w:eastAsia="es-ES"/>
        </w:rPr>
      </w:pPr>
      <w:r w:rsidRPr="003E0B07">
        <w:rPr>
          <w:rFonts w:eastAsia="Times New Roman"/>
          <w:bCs/>
          <w:kern w:val="18"/>
          <w:lang w:eastAsia="es-ES"/>
        </w:rPr>
        <w:t>La ocupación se inicia en las áreas de menor pendiente, siendo estas las más próximas a la costa</w:t>
      </w:r>
      <w:r>
        <w:rPr>
          <w:rFonts w:eastAsia="Times New Roman"/>
          <w:bCs/>
          <w:kern w:val="18"/>
          <w:lang w:eastAsia="es-ES"/>
        </w:rPr>
        <w:t xml:space="preserve"> (Puerto pesquero de </w:t>
      </w:r>
      <w:r w:rsidRPr="00D13470">
        <w:rPr>
          <w:rFonts w:eastAsia="Times New Roman"/>
          <w:bCs/>
          <w:kern w:val="18"/>
          <w:lang w:eastAsia="es-ES"/>
        </w:rPr>
        <w:t>Los Cristianos, en Arona, y Las Américas, sector bajo de San Eugenio y la Caleta, en Adeje). Se caracterizan</w:t>
      </w:r>
      <w:r w:rsidRPr="003E0B07">
        <w:rPr>
          <w:rFonts w:eastAsia="Times New Roman"/>
          <w:bCs/>
          <w:kern w:val="18"/>
          <w:lang w:eastAsia="es-ES"/>
        </w:rPr>
        <w:t xml:space="preserve"> por una ocupación carente, con frecuencia, de planificación integral desde el comienzo de la implantación de la actividad turística. De ahí que no se hayan tenido en cuenta el trazado de los cursos de agua, dado </w:t>
      </w:r>
      <w:r>
        <w:rPr>
          <w:rFonts w:eastAsia="Times New Roman"/>
          <w:bCs/>
          <w:kern w:val="18"/>
          <w:lang w:eastAsia="es-ES"/>
        </w:rPr>
        <w:t xml:space="preserve">lo casual de </w:t>
      </w:r>
      <w:r w:rsidRPr="003E0B07">
        <w:rPr>
          <w:rFonts w:eastAsia="Times New Roman"/>
          <w:bCs/>
          <w:kern w:val="18"/>
          <w:lang w:eastAsia="es-ES"/>
        </w:rPr>
        <w:t xml:space="preserve">la escorrentía, y la ubicación de las superficies de drenaje y desembocadura de los barrancos que aquí finalizan. Conforme se </w:t>
      </w:r>
      <w:r w:rsidRPr="003E0B07">
        <w:rPr>
          <w:rFonts w:eastAsia="Times New Roman"/>
          <w:bCs/>
          <w:kern w:val="18"/>
          <w:lang w:eastAsia="es-ES"/>
        </w:rPr>
        <w:lastRenderedPageBreak/>
        <w:t>colmata</w:t>
      </w:r>
      <w:r>
        <w:rPr>
          <w:rFonts w:eastAsia="Times New Roman"/>
          <w:bCs/>
          <w:kern w:val="18"/>
          <w:lang w:eastAsia="es-ES"/>
        </w:rPr>
        <w:t xml:space="preserve"> </w:t>
      </w:r>
      <w:r w:rsidRPr="003E0B07">
        <w:rPr>
          <w:rFonts w:eastAsia="Times New Roman"/>
          <w:bCs/>
          <w:kern w:val="18"/>
          <w:lang w:eastAsia="es-ES"/>
        </w:rPr>
        <w:t xml:space="preserve">el frente marítimo y sus </w:t>
      </w:r>
      <w:r>
        <w:rPr>
          <w:rFonts w:eastAsia="Times New Roman"/>
          <w:bCs/>
          <w:kern w:val="18"/>
          <w:lang w:eastAsia="es-ES"/>
        </w:rPr>
        <w:t>aledaños</w:t>
      </w:r>
      <w:r w:rsidRPr="003E0B07">
        <w:rPr>
          <w:rFonts w:eastAsia="Times New Roman"/>
          <w:bCs/>
          <w:kern w:val="18"/>
          <w:lang w:eastAsia="es-ES"/>
        </w:rPr>
        <w:t xml:space="preserve">, la edificación avanza hacia ámbitos de pendiente más pronunciada </w:t>
      </w:r>
      <w:r w:rsidRPr="007E3F8B">
        <w:rPr>
          <w:rFonts w:eastAsia="Times New Roman"/>
          <w:bCs/>
          <w:kern w:val="18"/>
          <w:lang w:eastAsia="es-ES"/>
        </w:rPr>
        <w:t xml:space="preserve">(Veriles de Los Tableros y </w:t>
      </w:r>
      <w:proofErr w:type="spellStart"/>
      <w:r w:rsidRPr="007E3F8B">
        <w:rPr>
          <w:rFonts w:eastAsia="Times New Roman"/>
          <w:bCs/>
          <w:kern w:val="18"/>
          <w:lang w:eastAsia="es-ES"/>
        </w:rPr>
        <w:t>Somada</w:t>
      </w:r>
      <w:proofErr w:type="spellEnd"/>
      <w:r w:rsidRPr="007E3F8B">
        <w:rPr>
          <w:rFonts w:eastAsia="Times New Roman"/>
          <w:bCs/>
          <w:kern w:val="18"/>
          <w:lang w:eastAsia="es-ES"/>
        </w:rPr>
        <w:t xml:space="preserve"> de Los Eres, en Arona, y Fañabé, Torviscas, </w:t>
      </w:r>
      <w:proofErr w:type="spellStart"/>
      <w:r w:rsidRPr="007E3F8B">
        <w:rPr>
          <w:rFonts w:eastAsia="Times New Roman"/>
          <w:bCs/>
          <w:kern w:val="18"/>
          <w:lang w:eastAsia="es-ES"/>
        </w:rPr>
        <w:t>Miraverde</w:t>
      </w:r>
      <w:proofErr w:type="spellEnd"/>
      <w:r w:rsidRPr="007E3F8B">
        <w:rPr>
          <w:rFonts w:eastAsia="Times New Roman"/>
          <w:bCs/>
          <w:kern w:val="18"/>
          <w:lang w:eastAsia="es-ES"/>
        </w:rPr>
        <w:t xml:space="preserve"> y Risco de Adeje,</w:t>
      </w:r>
      <w:r>
        <w:rPr>
          <w:rFonts w:eastAsia="Times New Roman"/>
          <w:bCs/>
          <w:kern w:val="18"/>
          <w:lang w:eastAsia="es-ES"/>
        </w:rPr>
        <w:t xml:space="preserve"> en Adeje</w:t>
      </w:r>
      <w:r w:rsidRPr="003E0B07">
        <w:rPr>
          <w:rFonts w:eastAsia="Times New Roman"/>
          <w:bCs/>
          <w:kern w:val="18"/>
          <w:lang w:eastAsia="es-ES"/>
        </w:rPr>
        <w:t>)</w:t>
      </w:r>
      <w:r>
        <w:rPr>
          <w:rFonts w:eastAsia="Times New Roman"/>
          <w:bCs/>
          <w:kern w:val="18"/>
          <w:lang w:eastAsia="es-ES"/>
        </w:rPr>
        <w:t xml:space="preserve"> (Figura 3)</w:t>
      </w:r>
      <w:r w:rsidRPr="003E0B07">
        <w:rPr>
          <w:rFonts w:eastAsia="Times New Roman"/>
          <w:bCs/>
          <w:kern w:val="18"/>
          <w:lang w:eastAsia="es-ES"/>
        </w:rPr>
        <w:t xml:space="preserve">. Se asiste así a un incremento de las coberturas urbanas, con la impermeabilización consiguiente de terrenos surcados por cauces que circulan por suelos privados de su capacidad de infiltración inicial. A esta pérdida </w:t>
      </w:r>
      <w:r>
        <w:rPr>
          <w:rFonts w:eastAsia="Times New Roman"/>
          <w:bCs/>
          <w:kern w:val="18"/>
          <w:lang w:eastAsia="es-ES"/>
        </w:rPr>
        <w:t>acompañan</w:t>
      </w:r>
      <w:r w:rsidRPr="003E0B07">
        <w:rPr>
          <w:rFonts w:eastAsia="Times New Roman"/>
          <w:bCs/>
          <w:kern w:val="18"/>
          <w:lang w:eastAsia="es-ES"/>
        </w:rPr>
        <w:t xml:space="preserve">, en la actualidad, </w:t>
      </w:r>
      <w:r>
        <w:rPr>
          <w:rFonts w:eastAsia="Times New Roman"/>
          <w:bCs/>
          <w:kern w:val="18"/>
          <w:lang w:eastAsia="es-ES"/>
        </w:rPr>
        <w:t xml:space="preserve">la </w:t>
      </w:r>
      <w:r w:rsidRPr="003E0B07">
        <w:rPr>
          <w:rFonts w:eastAsia="Times New Roman"/>
          <w:bCs/>
          <w:kern w:val="18"/>
          <w:lang w:eastAsia="es-ES"/>
        </w:rPr>
        <w:t xml:space="preserve">canalización del curso medio de numerosos barrancos, sobre todo cuando discurren bajo la trama urbana, la disposición de viales en sentido transversal a los cauces, la existencia de desagües sin dimensionamiento adecuado y de sistemas deficientes de canalización de pluviales y la construcción de paseos marítimos en cotas superiores a la rasante de la desembocadura de los </w:t>
      </w:r>
      <w:r>
        <w:rPr>
          <w:rFonts w:eastAsia="Times New Roman"/>
          <w:bCs/>
          <w:kern w:val="18"/>
          <w:lang w:eastAsia="es-ES"/>
        </w:rPr>
        <w:t>curso</w:t>
      </w:r>
      <w:r w:rsidRPr="003E0B07">
        <w:rPr>
          <w:rFonts w:eastAsia="Times New Roman"/>
          <w:bCs/>
          <w:kern w:val="18"/>
          <w:lang w:eastAsia="es-ES"/>
        </w:rPr>
        <w:t>s</w:t>
      </w:r>
      <w:r>
        <w:rPr>
          <w:rFonts w:eastAsia="Times New Roman"/>
          <w:bCs/>
          <w:kern w:val="18"/>
          <w:lang w:eastAsia="es-ES"/>
        </w:rPr>
        <w:t xml:space="preserve"> de agua</w:t>
      </w:r>
      <w:r w:rsidRPr="003E0B07">
        <w:rPr>
          <w:rFonts w:eastAsia="Times New Roman"/>
          <w:bCs/>
          <w:kern w:val="18"/>
          <w:lang w:eastAsia="es-ES"/>
        </w:rPr>
        <w:t xml:space="preserve">.    </w:t>
      </w:r>
    </w:p>
    <w:p w14:paraId="219AD114" w14:textId="293DB3E6" w:rsidR="00C37732" w:rsidRPr="003E0B07" w:rsidRDefault="00C37732" w:rsidP="0038507E">
      <w:pPr>
        <w:ind w:firstLine="426"/>
        <w:contextualSpacing/>
        <w:jc w:val="both"/>
        <w:rPr>
          <w:rFonts w:eastAsia="Times New Roman"/>
          <w:bCs/>
          <w:kern w:val="18"/>
          <w:lang w:eastAsia="es-ES"/>
        </w:rPr>
      </w:pPr>
      <w:r w:rsidRPr="003E0B07">
        <w:rPr>
          <w:rFonts w:eastAsia="Times New Roman"/>
          <w:bCs/>
          <w:kern w:val="18"/>
          <w:lang w:eastAsia="es-ES"/>
        </w:rPr>
        <w:t xml:space="preserve"> La vulnerabilidad ante la amenaza de inundación caracteriza, por todo ello, al área de estudio, aunque con especial relevancia en áreas urbanas con cierto desnivel y capacidad de infiltración reducida. Es aquí donde la circulación del agua en episodios de avenidas súbitas suele producir la disrupción de la movilidad peatonal y del tráfico y el encharcamiento local y puntual de espacios impermeables </w:t>
      </w:r>
      <w:r w:rsidRPr="00E93413">
        <w:rPr>
          <w:rFonts w:eastAsia="Times New Roman"/>
          <w:bCs/>
          <w:kern w:val="18"/>
          <w:lang w:eastAsia="es-ES"/>
        </w:rPr>
        <w:t>donde aquella es incapaz</w:t>
      </w:r>
      <w:r>
        <w:rPr>
          <w:rFonts w:eastAsia="Times New Roman"/>
          <w:bCs/>
          <w:kern w:val="18"/>
          <w:lang w:eastAsia="es-ES"/>
        </w:rPr>
        <w:t xml:space="preserve"> </w:t>
      </w:r>
      <w:r w:rsidRPr="003E0B07">
        <w:rPr>
          <w:rFonts w:eastAsia="Times New Roman"/>
          <w:bCs/>
          <w:kern w:val="18"/>
          <w:lang w:eastAsia="es-ES"/>
        </w:rPr>
        <w:t xml:space="preserve">de </w:t>
      </w:r>
      <w:r>
        <w:rPr>
          <w:rFonts w:eastAsia="Times New Roman"/>
          <w:bCs/>
          <w:kern w:val="18"/>
          <w:lang w:eastAsia="es-ES"/>
        </w:rPr>
        <w:t xml:space="preserve">ser </w:t>
      </w:r>
      <w:r w:rsidRPr="003E0B07">
        <w:rPr>
          <w:rFonts w:eastAsia="Times New Roman"/>
          <w:bCs/>
          <w:kern w:val="18"/>
          <w:lang w:eastAsia="es-ES"/>
        </w:rPr>
        <w:t>evacua</w:t>
      </w:r>
      <w:r>
        <w:rPr>
          <w:rFonts w:eastAsia="Times New Roman"/>
          <w:bCs/>
          <w:kern w:val="18"/>
          <w:lang w:eastAsia="es-ES"/>
        </w:rPr>
        <w:t>d</w:t>
      </w:r>
      <w:r w:rsidRPr="00E93413">
        <w:rPr>
          <w:rFonts w:eastAsia="Times New Roman"/>
          <w:bCs/>
          <w:kern w:val="18"/>
          <w:lang w:eastAsia="es-ES"/>
        </w:rPr>
        <w:t>a</w:t>
      </w:r>
      <w:r>
        <w:rPr>
          <w:rFonts w:eastAsia="Times New Roman"/>
          <w:bCs/>
          <w:kern w:val="18"/>
          <w:lang w:eastAsia="es-ES"/>
        </w:rPr>
        <w:t xml:space="preserve"> por</w:t>
      </w:r>
      <w:r w:rsidRPr="003E0B07">
        <w:rPr>
          <w:rFonts w:eastAsia="Times New Roman"/>
          <w:bCs/>
          <w:kern w:val="18"/>
          <w:lang w:eastAsia="es-ES"/>
        </w:rPr>
        <w:t xml:space="preserve"> el drenaje urbano, como locales comerciales y de servicios </w:t>
      </w:r>
      <w:r>
        <w:rPr>
          <w:rFonts w:eastAsia="Times New Roman"/>
          <w:bCs/>
          <w:kern w:val="18"/>
          <w:lang w:eastAsia="es-ES"/>
        </w:rPr>
        <w:t>edificados</w:t>
      </w:r>
      <w:r w:rsidRPr="003E0B07">
        <w:rPr>
          <w:rFonts w:eastAsia="Times New Roman"/>
          <w:bCs/>
          <w:kern w:val="18"/>
          <w:lang w:eastAsia="es-ES"/>
        </w:rPr>
        <w:t xml:space="preserve"> bajo rasante; destacables son, en este sentido, los almacenes y garajes de infraestructuras hoteleras. Las playas sufren también los efectos de las lluvias intensas en relación con los desbordamientos de cauces, como ha sucedido en algunos de </w:t>
      </w:r>
      <w:r w:rsidRPr="00F60E82">
        <w:rPr>
          <w:rFonts w:eastAsia="Times New Roman"/>
          <w:bCs/>
          <w:kern w:val="18"/>
          <w:lang w:eastAsia="es-ES"/>
        </w:rPr>
        <w:t xml:space="preserve">los 21 </w:t>
      </w:r>
      <w:r>
        <w:rPr>
          <w:rFonts w:eastAsia="Times New Roman"/>
          <w:bCs/>
          <w:kern w:val="18"/>
          <w:lang w:eastAsia="es-ES"/>
        </w:rPr>
        <w:t>episodios</w:t>
      </w:r>
      <w:r w:rsidRPr="003E0B07">
        <w:rPr>
          <w:rFonts w:eastAsia="Times New Roman"/>
          <w:bCs/>
          <w:kern w:val="18"/>
          <w:lang w:eastAsia="es-ES"/>
        </w:rPr>
        <w:t xml:space="preserve"> de precipitación extrema registrados entre 1980 y 2018 (13/12/2002, 18/04/2011) (</w:t>
      </w:r>
      <w:r w:rsidR="00A151A8" w:rsidRPr="00A151A8">
        <w:rPr>
          <w:rFonts w:eastAsia="Times New Roman"/>
          <w:bCs/>
          <w:kern w:val="18"/>
          <w:highlight w:val="yellow"/>
          <w:lang w:eastAsia="es-ES"/>
        </w:rPr>
        <w:t>CITA AUTOR 1</w:t>
      </w:r>
      <w:r w:rsidRPr="003E0B07">
        <w:rPr>
          <w:rFonts w:eastAsia="Times New Roman"/>
          <w:bCs/>
          <w:kern w:val="18"/>
          <w:lang w:eastAsia="es-ES"/>
        </w:rPr>
        <w:t>). Muestra de tal vulnerabilidad son los más de 2 millones de euros que el Consorcio de Compensación de Seguros</w:t>
      </w:r>
      <w:r>
        <w:rPr>
          <w:rFonts w:eastAsia="Times New Roman"/>
          <w:bCs/>
          <w:kern w:val="18"/>
          <w:lang w:eastAsia="es-ES"/>
        </w:rPr>
        <w:t xml:space="preserve"> (CCS)</w:t>
      </w:r>
      <w:r w:rsidRPr="003E0B07">
        <w:rPr>
          <w:rFonts w:eastAsia="Times New Roman"/>
          <w:bCs/>
          <w:kern w:val="18"/>
          <w:lang w:eastAsia="es-ES"/>
        </w:rPr>
        <w:t xml:space="preserve"> </w:t>
      </w:r>
      <w:r>
        <w:rPr>
          <w:rFonts w:eastAsia="Times New Roman"/>
          <w:bCs/>
          <w:kern w:val="18"/>
          <w:lang w:eastAsia="es-ES"/>
        </w:rPr>
        <w:t>pagó</w:t>
      </w:r>
      <w:r w:rsidRPr="003E0B07">
        <w:rPr>
          <w:rFonts w:eastAsia="Times New Roman"/>
          <w:bCs/>
          <w:kern w:val="18"/>
          <w:lang w:eastAsia="es-ES"/>
        </w:rPr>
        <w:t xml:space="preserve"> entre 1996 y 2016 en concepto de indemnización, por los daños y efectos sobre </w:t>
      </w:r>
      <w:r w:rsidR="0038507E">
        <w:rPr>
          <w:rFonts w:eastAsia="Times New Roman"/>
          <w:bCs/>
          <w:kern w:val="18"/>
          <w:lang w:eastAsia="es-ES"/>
        </w:rPr>
        <w:t>todo económicos de las avenidas.</w:t>
      </w:r>
    </w:p>
    <w:p w14:paraId="4B53A9EE" w14:textId="77777777" w:rsidR="00C37732" w:rsidRPr="003E0B07" w:rsidRDefault="00C37732" w:rsidP="00C37732">
      <w:pPr>
        <w:contextualSpacing/>
        <w:jc w:val="both"/>
        <w:outlineLvl w:val="0"/>
        <w:rPr>
          <w:rFonts w:eastAsia="Times New Roman"/>
          <w:b/>
          <w:bCs/>
          <w:kern w:val="18"/>
          <w:lang w:eastAsia="es-ES"/>
        </w:rPr>
      </w:pPr>
    </w:p>
    <w:p w14:paraId="63AAFC1B" w14:textId="77777777" w:rsidR="00C37732" w:rsidRDefault="00C37732" w:rsidP="00C37732">
      <w:pPr>
        <w:contextualSpacing/>
        <w:jc w:val="both"/>
        <w:outlineLvl w:val="0"/>
        <w:rPr>
          <w:rFonts w:eastAsia="Times New Roman"/>
          <w:b/>
          <w:bCs/>
          <w:kern w:val="18"/>
          <w:lang w:eastAsia="es-ES"/>
        </w:rPr>
      </w:pPr>
      <w:r w:rsidRPr="003E0B07">
        <w:rPr>
          <w:rFonts w:eastAsia="Times New Roman"/>
          <w:b/>
          <w:bCs/>
          <w:kern w:val="18"/>
          <w:lang w:eastAsia="es-ES"/>
        </w:rPr>
        <w:t xml:space="preserve">3. FUENTES Y MÉTODO </w:t>
      </w:r>
    </w:p>
    <w:p w14:paraId="3196802F" w14:textId="77777777" w:rsidR="00C37732" w:rsidRPr="003E0B07" w:rsidRDefault="00C37732" w:rsidP="00C37732">
      <w:pPr>
        <w:contextualSpacing/>
        <w:jc w:val="both"/>
        <w:outlineLvl w:val="0"/>
        <w:rPr>
          <w:rFonts w:eastAsia="Times New Roman"/>
          <w:b/>
          <w:bCs/>
          <w:kern w:val="18"/>
          <w:lang w:eastAsia="es-ES"/>
        </w:rPr>
      </w:pPr>
      <w:r>
        <w:rPr>
          <w:rFonts w:eastAsia="Times New Roman"/>
          <w:b/>
          <w:bCs/>
          <w:kern w:val="18"/>
          <w:lang w:eastAsia="es-ES"/>
        </w:rPr>
        <w:t>3.1 Fuentes para el análisis de la vulnerabilidad</w:t>
      </w:r>
    </w:p>
    <w:p w14:paraId="75C065E2" w14:textId="77777777" w:rsidR="00C37732" w:rsidRDefault="00C37732" w:rsidP="0038507E">
      <w:pPr>
        <w:ind w:firstLine="426"/>
        <w:contextualSpacing/>
        <w:jc w:val="both"/>
        <w:rPr>
          <w:rFonts w:eastAsia="Times New Roman"/>
          <w:bCs/>
          <w:kern w:val="18"/>
          <w:lang w:eastAsia="es-ES"/>
        </w:rPr>
      </w:pPr>
      <w:r>
        <w:rPr>
          <w:rFonts w:eastAsia="Times New Roman"/>
          <w:bCs/>
          <w:kern w:val="18"/>
          <w:lang w:eastAsia="es-ES"/>
        </w:rPr>
        <w:t xml:space="preserve">La identificación de las áreas expuestas al peligro de avenida y/o inundación (amenaza-exposición) se realiza a través del uso de </w:t>
      </w:r>
      <w:r w:rsidRPr="003E0B07">
        <w:rPr>
          <w:rFonts w:eastAsia="Times New Roman"/>
          <w:bCs/>
          <w:kern w:val="18"/>
          <w:lang w:eastAsia="es-ES"/>
        </w:rPr>
        <w:t xml:space="preserve">tres fuentes </w:t>
      </w:r>
      <w:r>
        <w:rPr>
          <w:rFonts w:eastAsia="Times New Roman"/>
          <w:bCs/>
          <w:kern w:val="18"/>
          <w:lang w:eastAsia="es-ES"/>
        </w:rPr>
        <w:t xml:space="preserve">específicas: de </w:t>
      </w:r>
      <w:r w:rsidRPr="003E0B07">
        <w:rPr>
          <w:rFonts w:eastAsia="Times New Roman"/>
          <w:bCs/>
          <w:kern w:val="18"/>
          <w:lang w:eastAsia="es-ES"/>
        </w:rPr>
        <w:t xml:space="preserve">un lado, la </w:t>
      </w:r>
      <w:r>
        <w:rPr>
          <w:rFonts w:eastAsia="Times New Roman"/>
          <w:bCs/>
          <w:kern w:val="18"/>
          <w:lang w:eastAsia="es-ES"/>
        </w:rPr>
        <w:t>C</w:t>
      </w:r>
      <w:r w:rsidRPr="003E0B07">
        <w:rPr>
          <w:rFonts w:eastAsia="Times New Roman"/>
          <w:bCs/>
          <w:kern w:val="18"/>
          <w:lang w:eastAsia="es-ES"/>
        </w:rPr>
        <w:t xml:space="preserve">artografía </w:t>
      </w:r>
      <w:r>
        <w:rPr>
          <w:rFonts w:eastAsia="Times New Roman"/>
          <w:bCs/>
          <w:kern w:val="18"/>
          <w:lang w:eastAsia="es-ES"/>
        </w:rPr>
        <w:t>N</w:t>
      </w:r>
      <w:r w:rsidRPr="003E0B07">
        <w:rPr>
          <w:rFonts w:eastAsia="Times New Roman"/>
          <w:bCs/>
          <w:kern w:val="18"/>
          <w:lang w:eastAsia="es-ES"/>
        </w:rPr>
        <w:t xml:space="preserve">acional de </w:t>
      </w:r>
      <w:r>
        <w:rPr>
          <w:rFonts w:eastAsia="Times New Roman"/>
          <w:bCs/>
          <w:kern w:val="18"/>
          <w:lang w:eastAsia="es-ES"/>
        </w:rPr>
        <w:t>Z</w:t>
      </w:r>
      <w:r w:rsidRPr="003E0B07">
        <w:rPr>
          <w:rFonts w:eastAsia="Times New Roman"/>
          <w:bCs/>
          <w:kern w:val="18"/>
          <w:lang w:eastAsia="es-ES"/>
        </w:rPr>
        <w:t xml:space="preserve">onas </w:t>
      </w:r>
      <w:r>
        <w:rPr>
          <w:rFonts w:eastAsia="Times New Roman"/>
          <w:bCs/>
          <w:kern w:val="18"/>
          <w:lang w:eastAsia="es-ES"/>
        </w:rPr>
        <w:t>I</w:t>
      </w:r>
      <w:r w:rsidRPr="003E0B07">
        <w:rPr>
          <w:rFonts w:eastAsia="Times New Roman"/>
          <w:bCs/>
          <w:kern w:val="18"/>
          <w:lang w:eastAsia="es-ES"/>
        </w:rPr>
        <w:t xml:space="preserve">nundables </w:t>
      </w:r>
      <w:r w:rsidRPr="00E93413">
        <w:rPr>
          <w:rFonts w:eastAsia="Times New Roman"/>
          <w:bCs/>
          <w:kern w:val="18"/>
          <w:lang w:eastAsia="es-ES"/>
        </w:rPr>
        <w:t>a escala 1:25000</w:t>
      </w:r>
      <w:r>
        <w:rPr>
          <w:rFonts w:eastAsia="Times New Roman"/>
          <w:bCs/>
          <w:kern w:val="18"/>
          <w:lang w:eastAsia="es-ES"/>
        </w:rPr>
        <w:t xml:space="preserve"> </w:t>
      </w:r>
      <w:r w:rsidRPr="003E0B07">
        <w:rPr>
          <w:rFonts w:eastAsia="Times New Roman"/>
          <w:bCs/>
          <w:kern w:val="18"/>
          <w:lang w:eastAsia="es-ES"/>
        </w:rPr>
        <w:t>(SNCZI</w:t>
      </w:r>
      <w:r>
        <w:rPr>
          <w:rFonts w:eastAsia="Times New Roman"/>
          <w:bCs/>
          <w:kern w:val="18"/>
          <w:lang w:eastAsia="es-ES"/>
        </w:rPr>
        <w:t xml:space="preserve">, </w:t>
      </w:r>
      <w:r w:rsidRPr="007E3F8B">
        <w:rPr>
          <w:rFonts w:eastAsia="Times New Roman"/>
          <w:bCs/>
          <w:kern w:val="18"/>
          <w:lang w:eastAsia="es-ES"/>
        </w:rPr>
        <w:t>2014</w:t>
      </w:r>
      <w:r w:rsidRPr="003E0B07">
        <w:rPr>
          <w:rFonts w:eastAsia="Times New Roman"/>
          <w:bCs/>
          <w:kern w:val="18"/>
          <w:lang w:eastAsia="es-ES"/>
        </w:rPr>
        <w:t>)</w:t>
      </w:r>
      <w:r>
        <w:rPr>
          <w:rFonts w:eastAsia="Times New Roman"/>
          <w:bCs/>
          <w:kern w:val="18"/>
          <w:lang w:eastAsia="es-ES"/>
        </w:rPr>
        <w:t xml:space="preserve">, cuyo establecimiento y administración corresponden al </w:t>
      </w:r>
      <w:r w:rsidRPr="003E0B07">
        <w:rPr>
          <w:rFonts w:eastAsia="Times New Roman"/>
          <w:bCs/>
          <w:kern w:val="18"/>
          <w:lang w:eastAsia="es-ES"/>
        </w:rPr>
        <w:t>Ministerio de Transición Ecológica</w:t>
      </w:r>
      <w:r>
        <w:rPr>
          <w:rFonts w:eastAsia="Times New Roman"/>
          <w:bCs/>
          <w:kern w:val="18"/>
          <w:lang w:eastAsia="es-ES"/>
        </w:rPr>
        <w:t xml:space="preserve"> (MITECO)</w:t>
      </w:r>
      <w:r w:rsidRPr="003E0B07">
        <w:rPr>
          <w:rFonts w:eastAsia="Times New Roman"/>
          <w:bCs/>
          <w:kern w:val="18"/>
          <w:lang w:eastAsia="es-ES"/>
        </w:rPr>
        <w:t xml:space="preserve"> de acuerdo </w:t>
      </w:r>
      <w:r>
        <w:rPr>
          <w:rFonts w:eastAsia="Times New Roman"/>
          <w:bCs/>
          <w:kern w:val="18"/>
          <w:lang w:eastAsia="es-ES"/>
        </w:rPr>
        <w:t xml:space="preserve">con </w:t>
      </w:r>
      <w:r w:rsidRPr="003E0B07">
        <w:rPr>
          <w:rFonts w:eastAsia="Times New Roman"/>
          <w:bCs/>
          <w:kern w:val="18"/>
          <w:lang w:eastAsia="es-ES"/>
        </w:rPr>
        <w:t>la directiva 2007/60 sobre evaluación y gestión de riesgo de inundación</w:t>
      </w:r>
      <w:r>
        <w:rPr>
          <w:rFonts w:eastAsia="Times New Roman"/>
          <w:bCs/>
          <w:kern w:val="18"/>
          <w:lang w:eastAsia="es-ES"/>
        </w:rPr>
        <w:t>; de otro</w:t>
      </w:r>
      <w:r w:rsidRPr="003E0B07">
        <w:rPr>
          <w:rFonts w:eastAsia="Times New Roman"/>
          <w:bCs/>
          <w:kern w:val="18"/>
          <w:lang w:eastAsia="es-ES"/>
        </w:rPr>
        <w:t>, el Plan de Defensa de Avenidas (PDA, 2015)</w:t>
      </w:r>
      <w:r>
        <w:rPr>
          <w:rFonts w:eastAsia="Times New Roman"/>
          <w:bCs/>
          <w:kern w:val="18"/>
          <w:lang w:eastAsia="es-ES"/>
        </w:rPr>
        <w:t xml:space="preserve"> dependiente d</w:t>
      </w:r>
      <w:r w:rsidRPr="003E0B07">
        <w:rPr>
          <w:rFonts w:eastAsia="Times New Roman"/>
          <w:bCs/>
          <w:kern w:val="18"/>
          <w:lang w:eastAsia="es-ES"/>
        </w:rPr>
        <w:t>el Consejo Insular de Aguas de Tenerife</w:t>
      </w:r>
      <w:r>
        <w:rPr>
          <w:rFonts w:eastAsia="Times New Roman"/>
          <w:bCs/>
          <w:kern w:val="18"/>
          <w:lang w:eastAsia="es-ES"/>
        </w:rPr>
        <w:t>,</w:t>
      </w:r>
      <w:r w:rsidRPr="003E0B07">
        <w:rPr>
          <w:rFonts w:eastAsia="Times New Roman"/>
          <w:bCs/>
          <w:kern w:val="18"/>
          <w:lang w:eastAsia="es-ES"/>
        </w:rPr>
        <w:t xml:space="preserve"> </w:t>
      </w:r>
      <w:r>
        <w:rPr>
          <w:rFonts w:eastAsia="Times New Roman"/>
          <w:bCs/>
          <w:kern w:val="18"/>
          <w:lang w:eastAsia="es-ES"/>
        </w:rPr>
        <w:t xml:space="preserve">que </w:t>
      </w:r>
      <w:r w:rsidRPr="003E0B07">
        <w:rPr>
          <w:rFonts w:eastAsia="Times New Roman"/>
          <w:bCs/>
          <w:kern w:val="18"/>
          <w:lang w:eastAsia="es-ES"/>
        </w:rPr>
        <w:t xml:space="preserve">identifica </w:t>
      </w:r>
      <w:r>
        <w:rPr>
          <w:rFonts w:eastAsia="Times New Roman"/>
          <w:bCs/>
          <w:kern w:val="18"/>
          <w:lang w:eastAsia="es-ES"/>
        </w:rPr>
        <w:t xml:space="preserve">ciertos </w:t>
      </w:r>
      <w:r w:rsidRPr="003E0B07">
        <w:rPr>
          <w:rFonts w:eastAsia="Times New Roman"/>
          <w:bCs/>
          <w:kern w:val="18"/>
          <w:lang w:eastAsia="es-ES"/>
        </w:rPr>
        <w:t>tramos de</w:t>
      </w:r>
      <w:r>
        <w:rPr>
          <w:rFonts w:eastAsia="Times New Roman"/>
          <w:bCs/>
          <w:kern w:val="18"/>
          <w:lang w:eastAsia="es-ES"/>
        </w:rPr>
        <w:t>l</w:t>
      </w:r>
      <w:r w:rsidRPr="003E0B07">
        <w:rPr>
          <w:rFonts w:eastAsia="Times New Roman"/>
          <w:bCs/>
          <w:kern w:val="18"/>
          <w:lang w:eastAsia="es-ES"/>
        </w:rPr>
        <w:t xml:space="preserve"> cauce</w:t>
      </w:r>
      <w:r>
        <w:rPr>
          <w:rFonts w:eastAsia="Times New Roman"/>
          <w:bCs/>
          <w:kern w:val="18"/>
          <w:lang w:eastAsia="es-ES"/>
        </w:rPr>
        <w:t xml:space="preserve"> de barrancos y una serie de </w:t>
      </w:r>
      <w:r w:rsidRPr="003E0B07">
        <w:rPr>
          <w:rFonts w:eastAsia="Times New Roman"/>
          <w:bCs/>
          <w:kern w:val="18"/>
          <w:lang w:eastAsia="es-ES"/>
        </w:rPr>
        <w:t xml:space="preserve">puntos y áreas </w:t>
      </w:r>
      <w:r>
        <w:rPr>
          <w:rFonts w:eastAsia="Times New Roman"/>
          <w:bCs/>
          <w:kern w:val="18"/>
          <w:lang w:eastAsia="es-ES"/>
        </w:rPr>
        <w:t xml:space="preserve">del territorio insular </w:t>
      </w:r>
      <w:r w:rsidRPr="003E0B07">
        <w:rPr>
          <w:rFonts w:eastAsia="Times New Roman"/>
          <w:bCs/>
          <w:kern w:val="18"/>
          <w:lang w:eastAsia="es-ES"/>
        </w:rPr>
        <w:t xml:space="preserve">proclives a </w:t>
      </w:r>
      <w:r>
        <w:rPr>
          <w:rFonts w:eastAsia="Times New Roman"/>
          <w:bCs/>
          <w:kern w:val="18"/>
          <w:lang w:eastAsia="es-ES"/>
        </w:rPr>
        <w:t>experimentar fenómenos de inundación</w:t>
      </w:r>
      <w:r w:rsidRPr="003E0B07">
        <w:rPr>
          <w:rFonts w:eastAsia="Times New Roman"/>
          <w:bCs/>
          <w:kern w:val="18"/>
          <w:lang w:eastAsia="es-ES"/>
        </w:rPr>
        <w:t xml:space="preserve">. </w:t>
      </w:r>
      <w:r>
        <w:rPr>
          <w:rFonts w:eastAsia="Times New Roman"/>
          <w:bCs/>
          <w:kern w:val="18"/>
          <w:lang w:eastAsia="es-ES"/>
        </w:rPr>
        <w:t>Y, p</w:t>
      </w:r>
      <w:r w:rsidRPr="003E0B07">
        <w:rPr>
          <w:rFonts w:eastAsia="Times New Roman"/>
          <w:bCs/>
          <w:kern w:val="18"/>
          <w:lang w:eastAsia="es-ES"/>
        </w:rPr>
        <w:t>or último, l</w:t>
      </w:r>
      <w:r>
        <w:rPr>
          <w:rFonts w:eastAsia="Times New Roman"/>
          <w:bCs/>
          <w:kern w:val="18"/>
          <w:lang w:eastAsia="es-ES"/>
        </w:rPr>
        <w:t xml:space="preserve">a prensa local (El Día, Diario de Avisos, La Opinión y Gaceta de Canarias) examinada entre 1970 y 2018, </w:t>
      </w:r>
      <w:r w:rsidRPr="0010165E">
        <w:rPr>
          <w:rFonts w:eastAsia="Times New Roman"/>
          <w:bCs/>
          <w:kern w:val="18"/>
          <w:lang w:eastAsia="es-ES"/>
        </w:rPr>
        <w:t>con el fin</w:t>
      </w:r>
      <w:r>
        <w:rPr>
          <w:rFonts w:eastAsia="Times New Roman"/>
          <w:bCs/>
          <w:kern w:val="18"/>
          <w:lang w:eastAsia="es-ES"/>
        </w:rPr>
        <w:t xml:space="preserve"> de obtener evidencias </w:t>
      </w:r>
      <w:r>
        <w:rPr>
          <w:rFonts w:eastAsia="Times New Roman"/>
          <w:bCs/>
          <w:kern w:val="18"/>
          <w:lang w:eastAsia="es-ES"/>
        </w:rPr>
        <w:lastRenderedPageBreak/>
        <w:t xml:space="preserve">acerca de las consecuencias </w:t>
      </w:r>
      <w:r w:rsidRPr="0010165E">
        <w:rPr>
          <w:rFonts w:eastAsia="Times New Roman"/>
          <w:bCs/>
          <w:kern w:val="18"/>
          <w:lang w:eastAsia="es-ES"/>
        </w:rPr>
        <w:t>del</w:t>
      </w:r>
      <w:r>
        <w:rPr>
          <w:rFonts w:eastAsia="Times New Roman"/>
          <w:bCs/>
          <w:kern w:val="18"/>
          <w:lang w:eastAsia="es-ES"/>
        </w:rPr>
        <w:t xml:space="preserve"> impacto y la localización de las inundaciones durante el periodo señalado.</w:t>
      </w:r>
    </w:p>
    <w:p w14:paraId="711194FF" w14:textId="77777777" w:rsidR="00C37732" w:rsidRDefault="00C37732" w:rsidP="0038507E">
      <w:pPr>
        <w:ind w:firstLine="426"/>
        <w:contextualSpacing/>
        <w:jc w:val="both"/>
        <w:rPr>
          <w:rFonts w:eastAsia="Times New Roman"/>
          <w:bCs/>
          <w:kern w:val="18"/>
          <w:lang w:eastAsia="es-ES"/>
        </w:rPr>
      </w:pPr>
      <w:r>
        <w:rPr>
          <w:rFonts w:eastAsia="Times New Roman"/>
          <w:bCs/>
          <w:kern w:val="18"/>
          <w:lang w:eastAsia="es-ES"/>
        </w:rPr>
        <w:t xml:space="preserve">Además de esta información contenida en documentos de planificación para la gestión del riesgo de inundación y el análisis de la prensa, se </w:t>
      </w:r>
      <w:r w:rsidRPr="00821783">
        <w:rPr>
          <w:rFonts w:eastAsia="Times New Roman"/>
          <w:bCs/>
          <w:kern w:val="18"/>
          <w:lang w:eastAsia="es-ES"/>
        </w:rPr>
        <w:t>identificaron</w:t>
      </w:r>
      <w:r>
        <w:rPr>
          <w:rFonts w:eastAsia="Times New Roman"/>
          <w:bCs/>
          <w:kern w:val="18"/>
          <w:lang w:eastAsia="es-ES"/>
        </w:rPr>
        <w:t xml:space="preserve"> episodios de precipitación extrema a través </w:t>
      </w:r>
      <w:r w:rsidRPr="00821783">
        <w:rPr>
          <w:rFonts w:eastAsia="Times New Roman"/>
          <w:bCs/>
          <w:kern w:val="18"/>
          <w:lang w:eastAsia="es-ES"/>
        </w:rPr>
        <w:t>del análisis de los registros</w:t>
      </w:r>
      <w:r>
        <w:rPr>
          <w:rFonts w:eastAsia="Times New Roman"/>
          <w:bCs/>
          <w:kern w:val="18"/>
          <w:lang w:eastAsia="es-ES"/>
        </w:rPr>
        <w:t xml:space="preserve"> de</w:t>
      </w:r>
      <w:r w:rsidRPr="006978C8">
        <w:rPr>
          <w:rFonts w:eastAsia="Times New Roman"/>
          <w:bCs/>
          <w:kern w:val="18"/>
          <w:lang w:eastAsia="es-ES"/>
        </w:rPr>
        <w:t xml:space="preserve"> tres </w:t>
      </w:r>
      <w:r>
        <w:rPr>
          <w:rFonts w:eastAsia="Times New Roman"/>
          <w:bCs/>
          <w:kern w:val="18"/>
          <w:lang w:eastAsia="es-ES"/>
        </w:rPr>
        <w:t xml:space="preserve">estaciones meteorológicas </w:t>
      </w:r>
      <w:r w:rsidRPr="006978C8">
        <w:rPr>
          <w:rFonts w:eastAsia="Times New Roman"/>
          <w:bCs/>
          <w:kern w:val="18"/>
          <w:lang w:eastAsia="es-ES"/>
        </w:rPr>
        <w:t>de la isla de Tenerife</w:t>
      </w:r>
      <w:r>
        <w:rPr>
          <w:rFonts w:eastAsia="Times New Roman"/>
          <w:bCs/>
          <w:kern w:val="18"/>
          <w:lang w:eastAsia="es-ES"/>
        </w:rPr>
        <w:t xml:space="preserve"> situadas en el entorno del área de estudio</w:t>
      </w:r>
      <w:r w:rsidRPr="006978C8">
        <w:rPr>
          <w:rFonts w:eastAsia="Times New Roman"/>
          <w:bCs/>
          <w:kern w:val="18"/>
          <w:lang w:eastAsia="es-ES"/>
        </w:rPr>
        <w:t xml:space="preserve"> </w:t>
      </w:r>
      <w:r w:rsidRPr="00821783">
        <w:rPr>
          <w:rFonts w:eastAsia="Times New Roman"/>
          <w:bCs/>
          <w:kern w:val="18"/>
          <w:lang w:eastAsia="es-ES"/>
        </w:rPr>
        <w:t>y</w:t>
      </w:r>
      <w:r w:rsidRPr="006978C8">
        <w:rPr>
          <w:rFonts w:eastAsia="Times New Roman"/>
          <w:bCs/>
          <w:kern w:val="18"/>
          <w:lang w:eastAsia="es-ES"/>
        </w:rPr>
        <w:t xml:space="preserve"> </w:t>
      </w:r>
      <w:r w:rsidRPr="00821783">
        <w:rPr>
          <w:rFonts w:eastAsia="Times New Roman"/>
          <w:bCs/>
          <w:kern w:val="18"/>
          <w:lang w:eastAsia="es-ES"/>
        </w:rPr>
        <w:t xml:space="preserve">pertenecientes a </w:t>
      </w:r>
      <w:r>
        <w:rPr>
          <w:rFonts w:eastAsia="Times New Roman"/>
          <w:bCs/>
          <w:kern w:val="18"/>
          <w:lang w:eastAsia="es-ES"/>
        </w:rPr>
        <w:t xml:space="preserve">AEMET. </w:t>
      </w:r>
      <w:r w:rsidRPr="006978C8">
        <w:rPr>
          <w:rFonts w:eastAsia="Times New Roman"/>
          <w:bCs/>
          <w:kern w:val="18"/>
          <w:lang w:eastAsia="es-ES"/>
        </w:rPr>
        <w:t xml:space="preserve">En la tabla 1 se muestran las series </w:t>
      </w:r>
      <w:r w:rsidRPr="00821783">
        <w:rPr>
          <w:rFonts w:eastAsia="Times New Roman"/>
          <w:bCs/>
          <w:kern w:val="18"/>
          <w:lang w:eastAsia="es-ES"/>
        </w:rPr>
        <w:t>usadas</w:t>
      </w:r>
      <w:r>
        <w:rPr>
          <w:rFonts w:eastAsia="Times New Roman"/>
          <w:bCs/>
          <w:kern w:val="18"/>
          <w:lang w:eastAsia="es-ES"/>
        </w:rPr>
        <w:t xml:space="preserve">, </w:t>
      </w:r>
      <w:r w:rsidRPr="006978C8">
        <w:rPr>
          <w:rFonts w:eastAsia="Times New Roman"/>
          <w:bCs/>
          <w:kern w:val="18"/>
          <w:lang w:eastAsia="es-ES"/>
        </w:rPr>
        <w:t xml:space="preserve">su localización y los períodos </w:t>
      </w:r>
      <w:r w:rsidRPr="00AF4FC6">
        <w:rPr>
          <w:rFonts w:eastAsia="Times New Roman"/>
          <w:bCs/>
          <w:kern w:val="18"/>
          <w:lang w:eastAsia="es-ES"/>
        </w:rPr>
        <w:t>en que se inician y finalizan</w:t>
      </w:r>
      <w:r>
        <w:rPr>
          <w:rFonts w:eastAsia="Times New Roman"/>
          <w:bCs/>
          <w:kern w:val="18"/>
          <w:lang w:eastAsia="es-ES"/>
        </w:rPr>
        <w:t>,</w:t>
      </w:r>
      <w:r w:rsidRPr="006978C8">
        <w:rPr>
          <w:rFonts w:eastAsia="Times New Roman"/>
          <w:bCs/>
          <w:kern w:val="18"/>
          <w:lang w:eastAsia="es-ES"/>
        </w:rPr>
        <w:t xml:space="preserve"> </w:t>
      </w:r>
      <w:r w:rsidRPr="00AF4FC6">
        <w:rPr>
          <w:rFonts w:eastAsia="Times New Roman"/>
          <w:bCs/>
          <w:kern w:val="18"/>
          <w:lang w:eastAsia="es-ES"/>
        </w:rPr>
        <w:t>con indicación del</w:t>
      </w:r>
      <w:r w:rsidRPr="006978C8">
        <w:rPr>
          <w:rFonts w:eastAsia="Times New Roman"/>
          <w:bCs/>
          <w:kern w:val="18"/>
          <w:lang w:eastAsia="es-ES"/>
        </w:rPr>
        <w:t xml:space="preserve"> número de años c</w:t>
      </w:r>
      <w:r>
        <w:rPr>
          <w:rFonts w:eastAsia="Times New Roman"/>
          <w:bCs/>
          <w:kern w:val="18"/>
          <w:lang w:eastAsia="es-ES"/>
        </w:rPr>
        <w:t>ompletos de cada una de ellas.</w:t>
      </w:r>
    </w:p>
    <w:p w14:paraId="6FB26CBF" w14:textId="77777777" w:rsidR="00C37732" w:rsidRPr="00B9042D" w:rsidRDefault="00C37732" w:rsidP="00C37732">
      <w:pPr>
        <w:spacing w:line="240" w:lineRule="auto"/>
        <w:contextualSpacing/>
        <w:jc w:val="center"/>
        <w:rPr>
          <w:rFonts w:eastAsia="Times New Roman"/>
          <w:bCs/>
          <w:kern w:val="18"/>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6"/>
        <w:gridCol w:w="1072"/>
        <w:gridCol w:w="1228"/>
        <w:gridCol w:w="1134"/>
        <w:gridCol w:w="851"/>
        <w:gridCol w:w="894"/>
        <w:gridCol w:w="1083"/>
      </w:tblGrid>
      <w:tr w:rsidR="0038507E" w:rsidRPr="00B32817" w14:paraId="3D014B46" w14:textId="77777777" w:rsidTr="0038507E">
        <w:trPr>
          <w:trHeight w:hRule="exact" w:val="465"/>
          <w:jc w:val="center"/>
        </w:trPr>
        <w:tc>
          <w:tcPr>
            <w:tcW w:w="1406" w:type="dxa"/>
            <w:shd w:val="clear" w:color="auto" w:fill="auto"/>
            <w:vAlign w:val="center"/>
          </w:tcPr>
          <w:p w14:paraId="2B02C3EA" w14:textId="77777777" w:rsidR="00C37732" w:rsidRPr="00B32817" w:rsidRDefault="00C37732" w:rsidP="00C37732">
            <w:pPr>
              <w:jc w:val="center"/>
              <w:rPr>
                <w:b/>
                <w:sz w:val="18"/>
                <w:szCs w:val="18"/>
              </w:rPr>
            </w:pPr>
            <w:r w:rsidRPr="00B32817">
              <w:rPr>
                <w:b/>
                <w:sz w:val="18"/>
                <w:szCs w:val="18"/>
              </w:rPr>
              <w:t>Estación</w:t>
            </w:r>
          </w:p>
        </w:tc>
        <w:tc>
          <w:tcPr>
            <w:tcW w:w="826" w:type="dxa"/>
            <w:shd w:val="clear" w:color="auto" w:fill="auto"/>
            <w:vAlign w:val="center"/>
          </w:tcPr>
          <w:p w14:paraId="2422AA79" w14:textId="77777777" w:rsidR="00C37732" w:rsidRPr="00B32817" w:rsidRDefault="00C37732" w:rsidP="00C37732">
            <w:pPr>
              <w:jc w:val="center"/>
              <w:rPr>
                <w:b/>
                <w:sz w:val="18"/>
                <w:szCs w:val="18"/>
              </w:rPr>
            </w:pPr>
            <w:r w:rsidRPr="00B32817">
              <w:rPr>
                <w:b/>
                <w:sz w:val="18"/>
                <w:szCs w:val="18"/>
              </w:rPr>
              <w:t>Isla</w:t>
            </w:r>
          </w:p>
        </w:tc>
        <w:tc>
          <w:tcPr>
            <w:tcW w:w="1072" w:type="dxa"/>
            <w:shd w:val="clear" w:color="auto" w:fill="auto"/>
            <w:vAlign w:val="center"/>
          </w:tcPr>
          <w:p w14:paraId="60F29BDA" w14:textId="77777777" w:rsidR="00C37732" w:rsidRPr="00B32817" w:rsidRDefault="00C37732" w:rsidP="00C37732">
            <w:pPr>
              <w:jc w:val="center"/>
              <w:rPr>
                <w:b/>
                <w:sz w:val="18"/>
                <w:szCs w:val="18"/>
              </w:rPr>
            </w:pPr>
            <w:r w:rsidRPr="00B32817">
              <w:rPr>
                <w:b/>
                <w:sz w:val="18"/>
                <w:szCs w:val="18"/>
              </w:rPr>
              <w:t>Latitud N</w:t>
            </w:r>
          </w:p>
        </w:tc>
        <w:tc>
          <w:tcPr>
            <w:tcW w:w="1228" w:type="dxa"/>
            <w:shd w:val="clear" w:color="auto" w:fill="auto"/>
            <w:vAlign w:val="center"/>
          </w:tcPr>
          <w:p w14:paraId="5651E75D" w14:textId="77777777" w:rsidR="00C37732" w:rsidRPr="00B32817" w:rsidRDefault="00C37732" w:rsidP="00C37732">
            <w:pPr>
              <w:jc w:val="center"/>
              <w:rPr>
                <w:b/>
                <w:sz w:val="18"/>
                <w:szCs w:val="18"/>
              </w:rPr>
            </w:pPr>
            <w:r w:rsidRPr="00B32817">
              <w:rPr>
                <w:b/>
                <w:sz w:val="18"/>
                <w:szCs w:val="18"/>
              </w:rPr>
              <w:t>Longitud W</w:t>
            </w:r>
          </w:p>
        </w:tc>
        <w:tc>
          <w:tcPr>
            <w:tcW w:w="1134" w:type="dxa"/>
            <w:shd w:val="clear" w:color="auto" w:fill="auto"/>
            <w:vAlign w:val="center"/>
          </w:tcPr>
          <w:p w14:paraId="1F25CD94" w14:textId="77777777" w:rsidR="00C37732" w:rsidRPr="00B32817" w:rsidRDefault="00C37732" w:rsidP="00C37732">
            <w:pPr>
              <w:jc w:val="center"/>
              <w:rPr>
                <w:b/>
                <w:sz w:val="18"/>
                <w:szCs w:val="18"/>
              </w:rPr>
            </w:pPr>
            <w:r w:rsidRPr="00B32817">
              <w:rPr>
                <w:b/>
                <w:sz w:val="18"/>
                <w:szCs w:val="18"/>
              </w:rPr>
              <w:t>Altitud (m)</w:t>
            </w:r>
          </w:p>
        </w:tc>
        <w:tc>
          <w:tcPr>
            <w:tcW w:w="851" w:type="dxa"/>
            <w:shd w:val="clear" w:color="auto" w:fill="auto"/>
            <w:vAlign w:val="center"/>
          </w:tcPr>
          <w:p w14:paraId="084C64BC" w14:textId="77777777" w:rsidR="00C37732" w:rsidRPr="00B32817" w:rsidRDefault="00C37732" w:rsidP="00C37732">
            <w:pPr>
              <w:jc w:val="center"/>
              <w:rPr>
                <w:b/>
                <w:sz w:val="18"/>
                <w:szCs w:val="18"/>
              </w:rPr>
            </w:pPr>
            <w:r w:rsidRPr="00B32817">
              <w:rPr>
                <w:b/>
                <w:sz w:val="18"/>
                <w:szCs w:val="18"/>
              </w:rPr>
              <w:t>Inicio</w:t>
            </w:r>
          </w:p>
        </w:tc>
        <w:tc>
          <w:tcPr>
            <w:tcW w:w="894" w:type="dxa"/>
            <w:shd w:val="clear" w:color="auto" w:fill="auto"/>
            <w:vAlign w:val="center"/>
          </w:tcPr>
          <w:p w14:paraId="75C13C16" w14:textId="77777777" w:rsidR="00C37732" w:rsidRPr="00B32817" w:rsidRDefault="00C37732" w:rsidP="00C37732">
            <w:pPr>
              <w:jc w:val="center"/>
              <w:rPr>
                <w:b/>
                <w:sz w:val="18"/>
                <w:szCs w:val="18"/>
              </w:rPr>
            </w:pPr>
            <w:r w:rsidRPr="00B32817">
              <w:rPr>
                <w:b/>
                <w:sz w:val="18"/>
                <w:szCs w:val="18"/>
              </w:rPr>
              <w:t>Fin</w:t>
            </w:r>
          </w:p>
        </w:tc>
        <w:tc>
          <w:tcPr>
            <w:tcW w:w="1083" w:type="dxa"/>
            <w:shd w:val="clear" w:color="auto" w:fill="auto"/>
            <w:vAlign w:val="center"/>
          </w:tcPr>
          <w:p w14:paraId="112B1640" w14:textId="77777777" w:rsidR="00C37732" w:rsidRPr="00B32817" w:rsidRDefault="00C37732" w:rsidP="00C37732">
            <w:pPr>
              <w:jc w:val="center"/>
              <w:rPr>
                <w:b/>
                <w:sz w:val="18"/>
                <w:szCs w:val="18"/>
              </w:rPr>
            </w:pPr>
            <w:r w:rsidRPr="00B32817">
              <w:rPr>
                <w:b/>
                <w:sz w:val="18"/>
                <w:szCs w:val="18"/>
              </w:rPr>
              <w:t>Años serie</w:t>
            </w:r>
          </w:p>
        </w:tc>
      </w:tr>
      <w:tr w:rsidR="0038507E" w:rsidRPr="00B32817" w14:paraId="0EB12FD1" w14:textId="77777777" w:rsidTr="0038507E">
        <w:trPr>
          <w:trHeight w:val="458"/>
          <w:jc w:val="center"/>
        </w:trPr>
        <w:tc>
          <w:tcPr>
            <w:tcW w:w="1406" w:type="dxa"/>
            <w:shd w:val="clear" w:color="auto" w:fill="auto"/>
            <w:vAlign w:val="center"/>
          </w:tcPr>
          <w:p w14:paraId="75B194D8" w14:textId="77777777" w:rsidR="00C37732" w:rsidRPr="00B32817" w:rsidRDefault="00C37732" w:rsidP="00C37732">
            <w:pPr>
              <w:jc w:val="center"/>
              <w:rPr>
                <w:sz w:val="18"/>
                <w:szCs w:val="18"/>
              </w:rPr>
            </w:pPr>
            <w:r w:rsidRPr="00B32817">
              <w:rPr>
                <w:sz w:val="18"/>
                <w:szCs w:val="18"/>
              </w:rPr>
              <w:t>C429I-Tfe. Sur</w:t>
            </w:r>
          </w:p>
        </w:tc>
        <w:tc>
          <w:tcPr>
            <w:tcW w:w="826" w:type="dxa"/>
            <w:shd w:val="clear" w:color="auto" w:fill="auto"/>
            <w:vAlign w:val="center"/>
          </w:tcPr>
          <w:p w14:paraId="38A80932" w14:textId="77777777" w:rsidR="00C37732" w:rsidRPr="00B32817" w:rsidRDefault="00C37732" w:rsidP="00C37732">
            <w:pPr>
              <w:jc w:val="center"/>
              <w:rPr>
                <w:sz w:val="18"/>
                <w:szCs w:val="18"/>
              </w:rPr>
            </w:pPr>
            <w:r w:rsidRPr="00B32817">
              <w:rPr>
                <w:sz w:val="18"/>
                <w:szCs w:val="18"/>
              </w:rPr>
              <w:t>Tenerife</w:t>
            </w:r>
          </w:p>
        </w:tc>
        <w:tc>
          <w:tcPr>
            <w:tcW w:w="1072" w:type="dxa"/>
            <w:shd w:val="clear" w:color="auto" w:fill="auto"/>
            <w:vAlign w:val="center"/>
          </w:tcPr>
          <w:p w14:paraId="21759E34" w14:textId="77777777" w:rsidR="00C37732" w:rsidRPr="00B32817" w:rsidRDefault="00C37732" w:rsidP="00C37732">
            <w:pPr>
              <w:jc w:val="center"/>
              <w:rPr>
                <w:sz w:val="18"/>
                <w:szCs w:val="18"/>
              </w:rPr>
            </w:pPr>
            <w:r w:rsidRPr="00B32817">
              <w:rPr>
                <w:sz w:val="18"/>
                <w:szCs w:val="18"/>
              </w:rPr>
              <w:t>27º59’29’’</w:t>
            </w:r>
          </w:p>
        </w:tc>
        <w:tc>
          <w:tcPr>
            <w:tcW w:w="1228" w:type="dxa"/>
            <w:shd w:val="clear" w:color="auto" w:fill="auto"/>
            <w:vAlign w:val="center"/>
          </w:tcPr>
          <w:p w14:paraId="3842FEF7" w14:textId="77777777" w:rsidR="00C37732" w:rsidRPr="00B32817" w:rsidRDefault="00C37732" w:rsidP="00C37732">
            <w:pPr>
              <w:jc w:val="center"/>
              <w:rPr>
                <w:sz w:val="18"/>
                <w:szCs w:val="18"/>
              </w:rPr>
            </w:pPr>
            <w:r w:rsidRPr="00B32817">
              <w:rPr>
                <w:sz w:val="18"/>
                <w:szCs w:val="18"/>
              </w:rPr>
              <w:t>16º41’10’’</w:t>
            </w:r>
          </w:p>
        </w:tc>
        <w:tc>
          <w:tcPr>
            <w:tcW w:w="1134" w:type="dxa"/>
            <w:shd w:val="clear" w:color="auto" w:fill="auto"/>
            <w:vAlign w:val="center"/>
          </w:tcPr>
          <w:p w14:paraId="7D3C2DE8" w14:textId="77777777" w:rsidR="00C37732" w:rsidRPr="00B32817" w:rsidRDefault="00C37732" w:rsidP="00C37732">
            <w:pPr>
              <w:jc w:val="center"/>
              <w:rPr>
                <w:sz w:val="18"/>
                <w:szCs w:val="18"/>
              </w:rPr>
            </w:pPr>
            <w:r w:rsidRPr="00B32817">
              <w:rPr>
                <w:sz w:val="18"/>
                <w:szCs w:val="18"/>
              </w:rPr>
              <w:t>12</w:t>
            </w:r>
          </w:p>
        </w:tc>
        <w:tc>
          <w:tcPr>
            <w:tcW w:w="851" w:type="dxa"/>
            <w:shd w:val="clear" w:color="auto" w:fill="auto"/>
            <w:vAlign w:val="center"/>
          </w:tcPr>
          <w:p w14:paraId="08BA17DE" w14:textId="77777777" w:rsidR="00C37732" w:rsidRPr="00B32817" w:rsidRDefault="00C37732" w:rsidP="00C37732">
            <w:pPr>
              <w:jc w:val="center"/>
              <w:rPr>
                <w:sz w:val="18"/>
                <w:szCs w:val="18"/>
              </w:rPr>
            </w:pPr>
            <w:r w:rsidRPr="00B32817">
              <w:rPr>
                <w:sz w:val="18"/>
                <w:szCs w:val="18"/>
              </w:rPr>
              <w:t>07/1980</w:t>
            </w:r>
          </w:p>
        </w:tc>
        <w:tc>
          <w:tcPr>
            <w:tcW w:w="894" w:type="dxa"/>
            <w:shd w:val="clear" w:color="auto" w:fill="auto"/>
            <w:vAlign w:val="center"/>
          </w:tcPr>
          <w:p w14:paraId="6632596B" w14:textId="77777777" w:rsidR="00C37732" w:rsidRPr="00B32817" w:rsidRDefault="00C37732" w:rsidP="00C37732">
            <w:pPr>
              <w:jc w:val="center"/>
              <w:rPr>
                <w:sz w:val="18"/>
                <w:szCs w:val="18"/>
              </w:rPr>
            </w:pPr>
            <w:r w:rsidRPr="00B32817">
              <w:rPr>
                <w:sz w:val="18"/>
                <w:szCs w:val="18"/>
              </w:rPr>
              <w:t>12/2018</w:t>
            </w:r>
          </w:p>
        </w:tc>
        <w:tc>
          <w:tcPr>
            <w:tcW w:w="1083" w:type="dxa"/>
            <w:shd w:val="clear" w:color="auto" w:fill="auto"/>
            <w:vAlign w:val="center"/>
          </w:tcPr>
          <w:p w14:paraId="349D396F" w14:textId="77777777" w:rsidR="00C37732" w:rsidRPr="00B32817" w:rsidRDefault="00C37732" w:rsidP="00C37732">
            <w:pPr>
              <w:jc w:val="center"/>
              <w:rPr>
                <w:sz w:val="18"/>
                <w:szCs w:val="18"/>
              </w:rPr>
            </w:pPr>
            <w:r w:rsidRPr="00B32817">
              <w:rPr>
                <w:sz w:val="18"/>
                <w:szCs w:val="18"/>
              </w:rPr>
              <w:t>37</w:t>
            </w:r>
          </w:p>
        </w:tc>
      </w:tr>
      <w:tr w:rsidR="0038507E" w:rsidRPr="00B32817" w14:paraId="717A6B70" w14:textId="77777777" w:rsidTr="0038507E">
        <w:trPr>
          <w:jc w:val="center"/>
        </w:trPr>
        <w:tc>
          <w:tcPr>
            <w:tcW w:w="1406" w:type="dxa"/>
            <w:shd w:val="clear" w:color="auto" w:fill="auto"/>
            <w:vAlign w:val="center"/>
          </w:tcPr>
          <w:p w14:paraId="3E842C42" w14:textId="77777777" w:rsidR="00C37732" w:rsidRPr="00B32817" w:rsidRDefault="00C37732" w:rsidP="00C37732">
            <w:pPr>
              <w:jc w:val="center"/>
              <w:rPr>
                <w:sz w:val="18"/>
                <w:szCs w:val="18"/>
              </w:rPr>
            </w:pPr>
            <w:r w:rsidRPr="00B32817">
              <w:rPr>
                <w:sz w:val="18"/>
                <w:szCs w:val="18"/>
              </w:rPr>
              <w:t>C418U-Adeje</w:t>
            </w:r>
          </w:p>
        </w:tc>
        <w:tc>
          <w:tcPr>
            <w:tcW w:w="826" w:type="dxa"/>
            <w:shd w:val="clear" w:color="auto" w:fill="auto"/>
            <w:vAlign w:val="center"/>
          </w:tcPr>
          <w:p w14:paraId="6FA2B6D1" w14:textId="77777777" w:rsidR="00C37732" w:rsidRPr="00B32817" w:rsidRDefault="00C37732" w:rsidP="00C37732">
            <w:pPr>
              <w:jc w:val="center"/>
              <w:rPr>
                <w:sz w:val="18"/>
                <w:szCs w:val="18"/>
              </w:rPr>
            </w:pPr>
            <w:r w:rsidRPr="00B32817">
              <w:rPr>
                <w:sz w:val="18"/>
                <w:szCs w:val="18"/>
              </w:rPr>
              <w:t>Tenerife</w:t>
            </w:r>
          </w:p>
        </w:tc>
        <w:tc>
          <w:tcPr>
            <w:tcW w:w="1072" w:type="dxa"/>
            <w:shd w:val="clear" w:color="auto" w:fill="auto"/>
            <w:vAlign w:val="center"/>
          </w:tcPr>
          <w:p w14:paraId="504C5DC5" w14:textId="77777777" w:rsidR="00C37732" w:rsidRPr="00B32817" w:rsidRDefault="00C37732" w:rsidP="00C37732">
            <w:pPr>
              <w:jc w:val="center"/>
              <w:rPr>
                <w:sz w:val="18"/>
                <w:szCs w:val="18"/>
              </w:rPr>
            </w:pPr>
            <w:r w:rsidRPr="00B32817">
              <w:rPr>
                <w:sz w:val="18"/>
                <w:szCs w:val="18"/>
              </w:rPr>
              <w:t>28º06’40’’</w:t>
            </w:r>
          </w:p>
        </w:tc>
        <w:tc>
          <w:tcPr>
            <w:tcW w:w="1228" w:type="dxa"/>
            <w:shd w:val="clear" w:color="auto" w:fill="auto"/>
            <w:vAlign w:val="center"/>
          </w:tcPr>
          <w:p w14:paraId="1CB6337F" w14:textId="77777777" w:rsidR="00C37732" w:rsidRPr="00B32817" w:rsidRDefault="00C37732" w:rsidP="00C37732">
            <w:pPr>
              <w:jc w:val="center"/>
              <w:rPr>
                <w:sz w:val="18"/>
                <w:szCs w:val="18"/>
              </w:rPr>
            </w:pPr>
            <w:r w:rsidRPr="00B32817">
              <w:rPr>
                <w:sz w:val="18"/>
                <w:szCs w:val="18"/>
              </w:rPr>
              <w:t>16º42’59’’</w:t>
            </w:r>
          </w:p>
        </w:tc>
        <w:tc>
          <w:tcPr>
            <w:tcW w:w="1134" w:type="dxa"/>
            <w:shd w:val="clear" w:color="auto" w:fill="auto"/>
            <w:vAlign w:val="center"/>
          </w:tcPr>
          <w:p w14:paraId="14E25C51" w14:textId="77777777" w:rsidR="00C37732" w:rsidRPr="00B32817" w:rsidRDefault="00C37732" w:rsidP="00C37732">
            <w:pPr>
              <w:jc w:val="center"/>
              <w:rPr>
                <w:sz w:val="18"/>
                <w:szCs w:val="18"/>
              </w:rPr>
            </w:pPr>
            <w:r w:rsidRPr="00B32817">
              <w:rPr>
                <w:sz w:val="18"/>
                <w:szCs w:val="18"/>
              </w:rPr>
              <w:t>266</w:t>
            </w:r>
          </w:p>
        </w:tc>
        <w:tc>
          <w:tcPr>
            <w:tcW w:w="851" w:type="dxa"/>
            <w:shd w:val="clear" w:color="auto" w:fill="auto"/>
            <w:vAlign w:val="center"/>
          </w:tcPr>
          <w:p w14:paraId="4AFC4659" w14:textId="77777777" w:rsidR="00C37732" w:rsidRPr="00B32817" w:rsidRDefault="00C37732" w:rsidP="00C37732">
            <w:pPr>
              <w:jc w:val="center"/>
              <w:rPr>
                <w:sz w:val="18"/>
                <w:szCs w:val="18"/>
              </w:rPr>
            </w:pPr>
            <w:r w:rsidRPr="00B32817">
              <w:rPr>
                <w:sz w:val="18"/>
                <w:szCs w:val="18"/>
              </w:rPr>
              <w:t>04/1944</w:t>
            </w:r>
          </w:p>
        </w:tc>
        <w:tc>
          <w:tcPr>
            <w:tcW w:w="894" w:type="dxa"/>
            <w:shd w:val="clear" w:color="auto" w:fill="auto"/>
            <w:vAlign w:val="center"/>
          </w:tcPr>
          <w:p w14:paraId="4B23A3A4" w14:textId="77777777" w:rsidR="00C37732" w:rsidRPr="00B32817" w:rsidRDefault="00C37732" w:rsidP="00C37732">
            <w:pPr>
              <w:jc w:val="center"/>
              <w:rPr>
                <w:sz w:val="18"/>
                <w:szCs w:val="18"/>
              </w:rPr>
            </w:pPr>
            <w:r w:rsidRPr="00B32817">
              <w:rPr>
                <w:sz w:val="18"/>
                <w:szCs w:val="18"/>
              </w:rPr>
              <w:t>08/2007</w:t>
            </w:r>
          </w:p>
        </w:tc>
        <w:tc>
          <w:tcPr>
            <w:tcW w:w="1083" w:type="dxa"/>
            <w:shd w:val="clear" w:color="auto" w:fill="auto"/>
            <w:vAlign w:val="center"/>
          </w:tcPr>
          <w:p w14:paraId="3149A637" w14:textId="77777777" w:rsidR="00C37732" w:rsidRPr="00B32817" w:rsidRDefault="00C37732" w:rsidP="00C37732">
            <w:pPr>
              <w:jc w:val="center"/>
              <w:rPr>
                <w:sz w:val="18"/>
                <w:szCs w:val="18"/>
              </w:rPr>
            </w:pPr>
            <w:r w:rsidRPr="00B32817">
              <w:rPr>
                <w:sz w:val="18"/>
                <w:szCs w:val="18"/>
              </w:rPr>
              <w:t>25</w:t>
            </w:r>
          </w:p>
        </w:tc>
      </w:tr>
      <w:tr w:rsidR="0038507E" w:rsidRPr="00B32817" w14:paraId="7BF2DA9D" w14:textId="77777777" w:rsidTr="0038507E">
        <w:trPr>
          <w:jc w:val="center"/>
        </w:trPr>
        <w:tc>
          <w:tcPr>
            <w:tcW w:w="1406" w:type="dxa"/>
            <w:shd w:val="clear" w:color="auto" w:fill="auto"/>
            <w:vAlign w:val="center"/>
          </w:tcPr>
          <w:p w14:paraId="00789144" w14:textId="77777777" w:rsidR="00C37732" w:rsidRPr="00B32817" w:rsidRDefault="00C37732" w:rsidP="00C37732">
            <w:pPr>
              <w:jc w:val="center"/>
              <w:rPr>
                <w:sz w:val="18"/>
                <w:szCs w:val="18"/>
              </w:rPr>
            </w:pPr>
            <w:r w:rsidRPr="00B32817">
              <w:rPr>
                <w:sz w:val="18"/>
                <w:szCs w:val="18"/>
              </w:rPr>
              <w:t>C429A-Arona</w:t>
            </w:r>
          </w:p>
        </w:tc>
        <w:tc>
          <w:tcPr>
            <w:tcW w:w="826" w:type="dxa"/>
            <w:shd w:val="clear" w:color="auto" w:fill="auto"/>
            <w:vAlign w:val="center"/>
          </w:tcPr>
          <w:p w14:paraId="2C698EA2" w14:textId="77777777" w:rsidR="00C37732" w:rsidRPr="00B32817" w:rsidRDefault="00C37732" w:rsidP="00C37732">
            <w:pPr>
              <w:jc w:val="center"/>
              <w:rPr>
                <w:sz w:val="18"/>
                <w:szCs w:val="18"/>
              </w:rPr>
            </w:pPr>
            <w:r w:rsidRPr="00B32817">
              <w:rPr>
                <w:sz w:val="18"/>
                <w:szCs w:val="18"/>
              </w:rPr>
              <w:t>Tenerife</w:t>
            </w:r>
          </w:p>
        </w:tc>
        <w:tc>
          <w:tcPr>
            <w:tcW w:w="1072" w:type="dxa"/>
            <w:shd w:val="clear" w:color="auto" w:fill="auto"/>
            <w:vAlign w:val="center"/>
          </w:tcPr>
          <w:p w14:paraId="6891A7C7" w14:textId="77777777" w:rsidR="00C37732" w:rsidRPr="00B32817" w:rsidRDefault="00C37732" w:rsidP="00C37732">
            <w:pPr>
              <w:jc w:val="center"/>
              <w:rPr>
                <w:sz w:val="18"/>
                <w:szCs w:val="18"/>
              </w:rPr>
            </w:pPr>
            <w:r w:rsidRPr="00B32817">
              <w:rPr>
                <w:sz w:val="18"/>
                <w:szCs w:val="18"/>
              </w:rPr>
              <w:t>27º59’29’’</w:t>
            </w:r>
          </w:p>
        </w:tc>
        <w:tc>
          <w:tcPr>
            <w:tcW w:w="1228" w:type="dxa"/>
            <w:shd w:val="clear" w:color="auto" w:fill="auto"/>
            <w:vAlign w:val="center"/>
          </w:tcPr>
          <w:p w14:paraId="36DE7B36" w14:textId="77777777" w:rsidR="00C37732" w:rsidRPr="00B32817" w:rsidRDefault="00C37732" w:rsidP="00C37732">
            <w:pPr>
              <w:jc w:val="center"/>
              <w:rPr>
                <w:sz w:val="18"/>
                <w:szCs w:val="18"/>
              </w:rPr>
            </w:pPr>
            <w:r w:rsidRPr="00B32817">
              <w:rPr>
                <w:sz w:val="18"/>
                <w:szCs w:val="18"/>
              </w:rPr>
              <w:t>16º41’10’’</w:t>
            </w:r>
          </w:p>
        </w:tc>
        <w:tc>
          <w:tcPr>
            <w:tcW w:w="1134" w:type="dxa"/>
            <w:shd w:val="clear" w:color="auto" w:fill="auto"/>
            <w:vAlign w:val="center"/>
          </w:tcPr>
          <w:p w14:paraId="102996CB" w14:textId="77777777" w:rsidR="00C37732" w:rsidRPr="00B32817" w:rsidRDefault="00C37732" w:rsidP="00C37732">
            <w:pPr>
              <w:jc w:val="center"/>
              <w:rPr>
                <w:sz w:val="18"/>
                <w:szCs w:val="18"/>
              </w:rPr>
            </w:pPr>
            <w:r w:rsidRPr="00B32817">
              <w:rPr>
                <w:sz w:val="18"/>
                <w:szCs w:val="18"/>
              </w:rPr>
              <w:t>12</w:t>
            </w:r>
          </w:p>
        </w:tc>
        <w:tc>
          <w:tcPr>
            <w:tcW w:w="851" w:type="dxa"/>
            <w:shd w:val="clear" w:color="auto" w:fill="auto"/>
            <w:vAlign w:val="center"/>
          </w:tcPr>
          <w:p w14:paraId="268AAADC" w14:textId="77777777" w:rsidR="00C37732" w:rsidRPr="00B32817" w:rsidRDefault="00C37732" w:rsidP="00C37732">
            <w:pPr>
              <w:jc w:val="center"/>
              <w:rPr>
                <w:sz w:val="18"/>
                <w:szCs w:val="18"/>
              </w:rPr>
            </w:pPr>
            <w:r w:rsidRPr="00B32817">
              <w:rPr>
                <w:sz w:val="18"/>
                <w:szCs w:val="18"/>
              </w:rPr>
              <w:t>01/1945</w:t>
            </w:r>
          </w:p>
        </w:tc>
        <w:tc>
          <w:tcPr>
            <w:tcW w:w="894" w:type="dxa"/>
            <w:shd w:val="clear" w:color="auto" w:fill="auto"/>
            <w:vAlign w:val="center"/>
          </w:tcPr>
          <w:p w14:paraId="30C98DD8" w14:textId="77777777" w:rsidR="00C37732" w:rsidRPr="00B32817" w:rsidRDefault="00C37732" w:rsidP="00C37732">
            <w:pPr>
              <w:jc w:val="center"/>
              <w:rPr>
                <w:sz w:val="18"/>
                <w:szCs w:val="18"/>
              </w:rPr>
            </w:pPr>
            <w:r w:rsidRPr="00B32817">
              <w:rPr>
                <w:sz w:val="18"/>
                <w:szCs w:val="18"/>
              </w:rPr>
              <w:t>07/1994</w:t>
            </w:r>
          </w:p>
        </w:tc>
        <w:tc>
          <w:tcPr>
            <w:tcW w:w="1083" w:type="dxa"/>
            <w:shd w:val="clear" w:color="auto" w:fill="auto"/>
            <w:vAlign w:val="center"/>
          </w:tcPr>
          <w:p w14:paraId="3F535BBB" w14:textId="77777777" w:rsidR="00C37732" w:rsidRPr="00B32817" w:rsidRDefault="00C37732" w:rsidP="00C37732">
            <w:pPr>
              <w:jc w:val="center"/>
              <w:rPr>
                <w:sz w:val="18"/>
                <w:szCs w:val="18"/>
              </w:rPr>
            </w:pPr>
            <w:r w:rsidRPr="00B32817">
              <w:rPr>
                <w:sz w:val="18"/>
                <w:szCs w:val="18"/>
              </w:rPr>
              <w:t>44</w:t>
            </w:r>
          </w:p>
        </w:tc>
      </w:tr>
    </w:tbl>
    <w:p w14:paraId="6F7BE9B8" w14:textId="77777777" w:rsidR="0038507E" w:rsidRDefault="0038507E" w:rsidP="0038507E">
      <w:pPr>
        <w:spacing w:line="240" w:lineRule="auto"/>
        <w:contextualSpacing/>
        <w:jc w:val="center"/>
        <w:rPr>
          <w:rFonts w:eastAsia="Times New Roman"/>
          <w:szCs w:val="20"/>
          <w:lang w:eastAsia="es-ES"/>
        </w:rPr>
      </w:pPr>
    </w:p>
    <w:p w14:paraId="2606D73C" w14:textId="77777777" w:rsidR="0038507E" w:rsidRPr="0038507E" w:rsidRDefault="0038507E" w:rsidP="0038507E">
      <w:pPr>
        <w:spacing w:line="240" w:lineRule="auto"/>
        <w:contextualSpacing/>
        <w:jc w:val="center"/>
        <w:rPr>
          <w:rFonts w:eastAsia="Times New Roman"/>
          <w:bCs/>
          <w:kern w:val="18"/>
          <w:sz w:val="20"/>
          <w:szCs w:val="20"/>
          <w:lang w:eastAsia="es-ES"/>
        </w:rPr>
      </w:pPr>
      <w:r w:rsidRPr="0038507E">
        <w:rPr>
          <w:rFonts w:eastAsia="Times New Roman"/>
          <w:sz w:val="20"/>
          <w:szCs w:val="20"/>
          <w:lang w:eastAsia="es-ES"/>
        </w:rPr>
        <w:t>Tabla 1. Localización, altitud y período temporal de las series pluviométricas utilizadas.</w:t>
      </w:r>
      <w:r w:rsidRPr="0038507E">
        <w:rPr>
          <w:rFonts w:eastAsia="Times New Roman"/>
          <w:bCs/>
          <w:kern w:val="18"/>
          <w:sz w:val="20"/>
          <w:szCs w:val="20"/>
          <w:lang w:eastAsia="es-ES"/>
        </w:rPr>
        <w:t xml:space="preserve"> </w:t>
      </w:r>
      <w:r w:rsidRPr="0038507E">
        <w:rPr>
          <w:rFonts w:eastAsia="Times New Roman"/>
          <w:sz w:val="20"/>
          <w:lang w:eastAsia="es-ES"/>
        </w:rPr>
        <w:t>Fuente: AEMET (2019).</w:t>
      </w:r>
    </w:p>
    <w:p w14:paraId="2EB9B664" w14:textId="77777777" w:rsidR="00C37732" w:rsidRDefault="00C37732" w:rsidP="00C37732">
      <w:pPr>
        <w:contextualSpacing/>
        <w:jc w:val="both"/>
        <w:rPr>
          <w:rFonts w:eastAsia="Times New Roman"/>
          <w:bCs/>
          <w:kern w:val="18"/>
          <w:lang w:eastAsia="es-ES"/>
        </w:rPr>
      </w:pPr>
    </w:p>
    <w:p w14:paraId="2596EFD3" w14:textId="77777777" w:rsidR="00C37732" w:rsidRPr="003E0B07" w:rsidRDefault="00C37732" w:rsidP="00F82537">
      <w:pPr>
        <w:ind w:firstLine="426"/>
        <w:contextualSpacing/>
        <w:jc w:val="both"/>
        <w:outlineLvl w:val="0"/>
        <w:rPr>
          <w:rFonts w:eastAsia="Times New Roman"/>
          <w:bCs/>
          <w:kern w:val="18"/>
          <w:lang w:eastAsia="es-ES"/>
        </w:rPr>
      </w:pPr>
      <w:r>
        <w:rPr>
          <w:rFonts w:eastAsia="Times New Roman"/>
          <w:bCs/>
          <w:kern w:val="18"/>
          <w:lang w:eastAsia="es-ES"/>
        </w:rPr>
        <w:t xml:space="preserve">Para realizar la evaluación de la vulnerabilidad se </w:t>
      </w:r>
      <w:r w:rsidRPr="00AF4FC6">
        <w:rPr>
          <w:rFonts w:eastAsia="Times New Roman"/>
          <w:bCs/>
          <w:kern w:val="18"/>
          <w:lang w:eastAsia="es-ES"/>
        </w:rPr>
        <w:t>recurre a fuentes</w:t>
      </w:r>
      <w:r>
        <w:rPr>
          <w:rFonts w:eastAsia="Times New Roman"/>
          <w:bCs/>
          <w:kern w:val="18"/>
          <w:lang w:eastAsia="es-ES"/>
        </w:rPr>
        <w:t xml:space="preserve"> que permiten localizar y definir usos, edificaciones y distintas actividades, aunque la unidad mínima de análisis empleada es la parcela catastral. En este contexto, la parcela catastral, </w:t>
      </w:r>
      <w:r w:rsidRPr="003E0B07">
        <w:rPr>
          <w:rFonts w:eastAsia="Times New Roman"/>
          <w:bCs/>
          <w:kern w:val="18"/>
          <w:lang w:eastAsia="es-ES"/>
        </w:rPr>
        <w:t>establecida en el sistema de gestión de la Dirección General del Catastro del Ministerio de Hacienda de España</w:t>
      </w:r>
      <w:r>
        <w:rPr>
          <w:rFonts w:eastAsia="Times New Roman"/>
          <w:bCs/>
          <w:kern w:val="18"/>
          <w:lang w:eastAsia="es-ES"/>
        </w:rPr>
        <w:t xml:space="preserve">, adquiere gran relevancia como unidad de análisis. Su empleo en este trabajo </w:t>
      </w:r>
      <w:r w:rsidRPr="003E0B07">
        <w:rPr>
          <w:rFonts w:eastAsia="Times New Roman"/>
          <w:bCs/>
          <w:kern w:val="18"/>
          <w:lang w:eastAsia="es-ES"/>
        </w:rPr>
        <w:t>obedece a que su demarcación es objetiva, como exactos son sus límites y la naturaleza de su información. Cabe destacar</w:t>
      </w:r>
      <w:r>
        <w:rPr>
          <w:rFonts w:eastAsia="Times New Roman"/>
          <w:bCs/>
          <w:kern w:val="18"/>
          <w:lang w:eastAsia="es-ES"/>
        </w:rPr>
        <w:t xml:space="preserve"> </w:t>
      </w:r>
      <w:r w:rsidRPr="003E0B07">
        <w:rPr>
          <w:rFonts w:eastAsia="Times New Roman"/>
          <w:bCs/>
          <w:kern w:val="18"/>
          <w:lang w:eastAsia="es-ES"/>
        </w:rPr>
        <w:t>la proporcionada acerca del inmueble o conjunto de inmuebles que la ocupa y la relativa, entre otros aspectos, a la superficie total construida, a la parte de esta que se encuentra bajo la rasante y a la antigüedad de la edificación; de igual manera, la relativa a reseñas</w:t>
      </w:r>
      <w:r>
        <w:rPr>
          <w:rFonts w:eastAsia="Times New Roman"/>
          <w:bCs/>
          <w:kern w:val="18"/>
          <w:lang w:eastAsia="es-ES"/>
        </w:rPr>
        <w:t xml:space="preserve"> sobre los usos del suelo</w:t>
      </w:r>
      <w:r w:rsidRPr="003E0B07">
        <w:rPr>
          <w:rFonts w:eastAsia="Times New Roman"/>
          <w:bCs/>
          <w:kern w:val="18"/>
          <w:lang w:eastAsia="es-ES"/>
        </w:rPr>
        <w:t xml:space="preserve"> susceptibles de extrapolación, que, a pesar de su más difícil acceso, permiten la realización de cálculos para la estimación de la vulnerabilidad (</w:t>
      </w:r>
      <w:proofErr w:type="spellStart"/>
      <w:r w:rsidRPr="003E0B07">
        <w:rPr>
          <w:rFonts w:eastAsia="Times New Roman"/>
          <w:bCs/>
          <w:kern w:val="18"/>
          <w:lang w:eastAsia="es-ES"/>
        </w:rPr>
        <w:t>Camarasa</w:t>
      </w:r>
      <w:proofErr w:type="spellEnd"/>
      <w:r w:rsidRPr="003E0B07">
        <w:rPr>
          <w:rFonts w:eastAsia="Times New Roman"/>
          <w:bCs/>
          <w:kern w:val="18"/>
          <w:lang w:eastAsia="es-ES"/>
        </w:rPr>
        <w:t xml:space="preserve">, 2007). De esta forma, el uso de la parcela catastral facilita </w:t>
      </w:r>
      <w:r w:rsidRPr="00AF4FC6">
        <w:rPr>
          <w:rFonts w:eastAsia="Times New Roman"/>
          <w:bCs/>
          <w:kern w:val="18"/>
          <w:lang w:eastAsia="es-ES"/>
        </w:rPr>
        <w:t xml:space="preserve">medir </w:t>
      </w:r>
      <w:r w:rsidRPr="003E0B07">
        <w:rPr>
          <w:rFonts w:eastAsia="Times New Roman"/>
          <w:bCs/>
          <w:kern w:val="18"/>
          <w:lang w:eastAsia="es-ES"/>
        </w:rPr>
        <w:t>su pendiente topográfica media, agregar ubicaciones puntuales aprovechables para locales de servicios, comercios, restauración, entre otras construcciones, o desagregar</w:t>
      </w:r>
      <w:r>
        <w:rPr>
          <w:rFonts w:eastAsia="Times New Roman"/>
          <w:bCs/>
          <w:kern w:val="18"/>
          <w:lang w:eastAsia="es-ES"/>
        </w:rPr>
        <w:t>,</w:t>
      </w:r>
      <w:r w:rsidRPr="003E0B07">
        <w:rPr>
          <w:rFonts w:eastAsia="Times New Roman"/>
          <w:bCs/>
          <w:kern w:val="18"/>
          <w:lang w:eastAsia="es-ES"/>
        </w:rPr>
        <w:t xml:space="preserve"> por extrapolación</w:t>
      </w:r>
      <w:r>
        <w:rPr>
          <w:rFonts w:eastAsia="Times New Roman"/>
          <w:bCs/>
          <w:kern w:val="18"/>
          <w:lang w:eastAsia="es-ES"/>
        </w:rPr>
        <w:t>,</w:t>
      </w:r>
      <w:r w:rsidRPr="003E0B07">
        <w:rPr>
          <w:rFonts w:eastAsia="Times New Roman"/>
          <w:bCs/>
          <w:kern w:val="18"/>
          <w:lang w:eastAsia="es-ES"/>
        </w:rPr>
        <w:t xml:space="preserve"> datos de población o plazas turísticas. Macías González (2017) la utiliza</w:t>
      </w:r>
      <w:r>
        <w:rPr>
          <w:rFonts w:eastAsia="Times New Roman"/>
          <w:bCs/>
          <w:kern w:val="18"/>
          <w:lang w:eastAsia="es-ES"/>
        </w:rPr>
        <w:t>,</w:t>
      </w:r>
      <w:r w:rsidRPr="003E0B07">
        <w:rPr>
          <w:rFonts w:eastAsia="Times New Roman"/>
          <w:bCs/>
          <w:kern w:val="18"/>
          <w:lang w:eastAsia="es-ES"/>
        </w:rPr>
        <w:t xml:space="preserve"> mediante ciertas adaptaciones, para la estimación local del riesgo por movimientos de ladera en áreas turísticas costeras del sur de Gran Canaria y </w:t>
      </w:r>
      <w:r>
        <w:rPr>
          <w:rFonts w:eastAsia="Times New Roman"/>
          <w:bCs/>
          <w:kern w:val="18"/>
          <w:lang w:eastAsia="es-ES"/>
        </w:rPr>
        <w:t xml:space="preserve">para </w:t>
      </w:r>
      <w:r w:rsidRPr="003E0B07">
        <w:rPr>
          <w:rFonts w:eastAsia="Times New Roman"/>
          <w:bCs/>
          <w:kern w:val="18"/>
          <w:lang w:eastAsia="es-ES"/>
        </w:rPr>
        <w:t xml:space="preserve">el examen de la impermeabilización del sustrato. A la parcela catastral se añade en </w:t>
      </w:r>
      <w:r>
        <w:rPr>
          <w:rFonts w:eastAsia="Times New Roman"/>
          <w:bCs/>
          <w:kern w:val="18"/>
          <w:lang w:eastAsia="es-ES"/>
        </w:rPr>
        <w:t>el estudio que ahora se realiza,</w:t>
      </w:r>
      <w:r w:rsidRPr="003E0B07">
        <w:rPr>
          <w:rFonts w:eastAsia="Times New Roman"/>
          <w:bCs/>
          <w:kern w:val="18"/>
          <w:lang w:eastAsia="es-ES"/>
        </w:rPr>
        <w:t xml:space="preserve"> el área ocupada por las playas, </w:t>
      </w:r>
      <w:r>
        <w:rPr>
          <w:rFonts w:eastAsia="Times New Roman"/>
          <w:bCs/>
          <w:kern w:val="18"/>
          <w:lang w:eastAsia="es-ES"/>
        </w:rPr>
        <w:t xml:space="preserve">donde generalmente se localiza la </w:t>
      </w:r>
      <w:r w:rsidRPr="003E0B07">
        <w:rPr>
          <w:rFonts w:eastAsia="Times New Roman"/>
          <w:bCs/>
          <w:kern w:val="18"/>
          <w:lang w:eastAsia="es-ES"/>
        </w:rPr>
        <w:t>desembocadura de diversos barrancos</w:t>
      </w:r>
      <w:r>
        <w:rPr>
          <w:rFonts w:eastAsia="Times New Roman"/>
          <w:bCs/>
          <w:kern w:val="18"/>
          <w:lang w:eastAsia="es-ES"/>
        </w:rPr>
        <w:t xml:space="preserve">. </w:t>
      </w:r>
    </w:p>
    <w:p w14:paraId="2A7B2ECC" w14:textId="77777777" w:rsidR="00C37732" w:rsidRDefault="00C37732" w:rsidP="00F82537">
      <w:pPr>
        <w:ind w:firstLine="426"/>
        <w:contextualSpacing/>
        <w:jc w:val="both"/>
        <w:outlineLvl w:val="0"/>
        <w:rPr>
          <w:rFonts w:eastAsia="Times New Roman"/>
          <w:bCs/>
          <w:kern w:val="18"/>
          <w:lang w:eastAsia="es-ES"/>
        </w:rPr>
      </w:pPr>
      <w:r>
        <w:rPr>
          <w:rFonts w:eastAsia="Times New Roman"/>
          <w:bCs/>
          <w:kern w:val="18"/>
          <w:lang w:eastAsia="es-ES"/>
        </w:rPr>
        <w:lastRenderedPageBreak/>
        <w:t>Otra</w:t>
      </w:r>
      <w:r w:rsidRPr="00AF4FC6">
        <w:rPr>
          <w:rFonts w:eastAsia="Times New Roman"/>
          <w:bCs/>
          <w:kern w:val="18"/>
          <w:lang w:eastAsia="es-ES"/>
        </w:rPr>
        <w:t>s</w:t>
      </w:r>
      <w:r>
        <w:rPr>
          <w:rFonts w:eastAsia="Times New Roman"/>
          <w:bCs/>
          <w:kern w:val="18"/>
          <w:lang w:eastAsia="es-ES"/>
        </w:rPr>
        <w:t xml:space="preserve"> fuentes consultadas para evaluar la vulnerabilidad </w:t>
      </w:r>
      <w:r w:rsidRPr="00AF4FC6">
        <w:rPr>
          <w:rFonts w:eastAsia="Times New Roman"/>
          <w:bCs/>
          <w:kern w:val="18"/>
          <w:lang w:eastAsia="es-ES"/>
        </w:rPr>
        <w:t>son</w:t>
      </w:r>
      <w:r>
        <w:rPr>
          <w:rFonts w:eastAsia="Times New Roman"/>
          <w:bCs/>
          <w:kern w:val="18"/>
          <w:lang w:eastAsia="es-ES"/>
        </w:rPr>
        <w:t xml:space="preserve"> la base de datos </w:t>
      </w:r>
      <w:r w:rsidRPr="0092612A">
        <w:rPr>
          <w:rFonts w:eastAsia="Times New Roman"/>
          <w:bCs/>
          <w:kern w:val="18"/>
          <w:lang w:eastAsia="es-ES"/>
        </w:rPr>
        <w:t xml:space="preserve">geográficos de actividades del Cabildo de </w:t>
      </w:r>
      <w:r w:rsidRPr="006716BA">
        <w:rPr>
          <w:rFonts w:eastAsia="Times New Roman"/>
          <w:bCs/>
          <w:kern w:val="18"/>
          <w:lang w:eastAsia="es-ES"/>
        </w:rPr>
        <w:t>Tenerife (2018),</w:t>
      </w:r>
      <w:r>
        <w:rPr>
          <w:rFonts w:eastAsia="Times New Roman"/>
          <w:bCs/>
          <w:kern w:val="18"/>
          <w:lang w:eastAsia="es-ES"/>
        </w:rPr>
        <w:t xml:space="preserve"> de la que procede la información relativa a tipo y ubicación de edificaciones, así como los datos de población residente por núcleos de población </w:t>
      </w:r>
      <w:r w:rsidRPr="00AF4FC6">
        <w:rPr>
          <w:rFonts w:eastAsia="Times New Roman"/>
          <w:bCs/>
          <w:kern w:val="18"/>
          <w:lang w:eastAsia="es-ES"/>
        </w:rPr>
        <w:t>proporcionados por</w:t>
      </w:r>
      <w:r>
        <w:rPr>
          <w:rFonts w:eastAsia="Times New Roman"/>
          <w:bCs/>
          <w:kern w:val="18"/>
          <w:lang w:eastAsia="es-ES"/>
        </w:rPr>
        <w:t xml:space="preserve"> el ISTAC (</w:t>
      </w:r>
      <w:r w:rsidRPr="0092612A">
        <w:rPr>
          <w:rFonts w:eastAsia="Times New Roman"/>
          <w:bCs/>
          <w:kern w:val="18"/>
          <w:lang w:eastAsia="es-ES"/>
        </w:rPr>
        <w:t>2017)</w:t>
      </w:r>
      <w:r>
        <w:rPr>
          <w:rFonts w:eastAsia="Times New Roman"/>
          <w:bCs/>
          <w:kern w:val="18"/>
          <w:lang w:eastAsia="es-ES"/>
        </w:rPr>
        <w:t>.</w:t>
      </w:r>
    </w:p>
    <w:p w14:paraId="52BF03FA" w14:textId="77777777" w:rsidR="00C37732" w:rsidRDefault="00C37732" w:rsidP="00C37732">
      <w:pPr>
        <w:spacing w:line="240" w:lineRule="auto"/>
        <w:contextualSpacing/>
        <w:jc w:val="both"/>
        <w:rPr>
          <w:rFonts w:eastAsia="Times New Roman"/>
          <w:bCs/>
          <w:kern w:val="18"/>
          <w:lang w:eastAsia="es-ES"/>
        </w:rPr>
      </w:pPr>
    </w:p>
    <w:p w14:paraId="05086CAF" w14:textId="77777777" w:rsidR="00C37732" w:rsidRPr="003E0B07" w:rsidRDefault="00C37732" w:rsidP="00C37732">
      <w:pPr>
        <w:contextualSpacing/>
        <w:jc w:val="both"/>
        <w:outlineLvl w:val="0"/>
        <w:rPr>
          <w:rFonts w:eastAsia="Times New Roman"/>
          <w:b/>
          <w:bCs/>
          <w:kern w:val="18"/>
          <w:lang w:eastAsia="es-ES"/>
        </w:rPr>
      </w:pPr>
      <w:r w:rsidRPr="003E0B07">
        <w:rPr>
          <w:rFonts w:eastAsia="Times New Roman"/>
          <w:b/>
          <w:bCs/>
          <w:kern w:val="18"/>
          <w:lang w:eastAsia="es-ES"/>
        </w:rPr>
        <w:t>3.</w:t>
      </w:r>
      <w:r>
        <w:rPr>
          <w:rFonts w:eastAsia="Times New Roman"/>
          <w:b/>
          <w:bCs/>
          <w:kern w:val="18"/>
          <w:lang w:eastAsia="es-ES"/>
        </w:rPr>
        <w:t>2</w:t>
      </w:r>
      <w:r w:rsidRPr="003E0B07">
        <w:rPr>
          <w:rFonts w:eastAsia="Times New Roman"/>
          <w:b/>
          <w:bCs/>
          <w:kern w:val="18"/>
          <w:lang w:eastAsia="es-ES"/>
        </w:rPr>
        <w:t xml:space="preserve"> </w:t>
      </w:r>
      <w:r>
        <w:rPr>
          <w:rFonts w:eastAsia="Times New Roman"/>
          <w:b/>
          <w:bCs/>
          <w:kern w:val="18"/>
          <w:lang w:eastAsia="es-ES"/>
        </w:rPr>
        <w:t>Método</w:t>
      </w:r>
    </w:p>
    <w:p w14:paraId="2F3E2767" w14:textId="77777777" w:rsidR="00C37732" w:rsidRPr="003E0B07" w:rsidRDefault="00C37732" w:rsidP="00F82537">
      <w:pPr>
        <w:ind w:firstLine="426"/>
        <w:contextualSpacing/>
        <w:jc w:val="both"/>
        <w:rPr>
          <w:rFonts w:eastAsia="Times New Roman"/>
          <w:bCs/>
          <w:kern w:val="18"/>
          <w:lang w:eastAsia="es-ES"/>
        </w:rPr>
      </w:pPr>
      <w:r w:rsidRPr="003E0B07">
        <w:rPr>
          <w:rFonts w:eastAsia="Times New Roman"/>
          <w:bCs/>
          <w:kern w:val="18"/>
          <w:lang w:eastAsia="es-ES"/>
        </w:rPr>
        <w:t xml:space="preserve">En los procesos de evaluación del riesgo, existen múltiples metodologías para </w:t>
      </w:r>
      <w:r>
        <w:rPr>
          <w:rFonts w:eastAsia="Times New Roman"/>
          <w:bCs/>
          <w:kern w:val="18"/>
          <w:lang w:eastAsia="es-ES"/>
        </w:rPr>
        <w:t>calcular</w:t>
      </w:r>
      <w:r w:rsidRPr="003E0B07">
        <w:rPr>
          <w:rFonts w:eastAsia="Times New Roman"/>
          <w:bCs/>
          <w:kern w:val="18"/>
          <w:lang w:eastAsia="es-ES"/>
        </w:rPr>
        <w:t xml:space="preserve"> la vulnerabilidad (</w:t>
      </w:r>
      <w:proofErr w:type="spellStart"/>
      <w:r w:rsidRPr="003E0B07">
        <w:rPr>
          <w:rFonts w:eastAsia="Times New Roman"/>
          <w:bCs/>
          <w:kern w:val="18"/>
          <w:lang w:eastAsia="es-ES"/>
        </w:rPr>
        <w:t>Balica</w:t>
      </w:r>
      <w:proofErr w:type="spellEnd"/>
      <w:r w:rsidRPr="003E0B07">
        <w:rPr>
          <w:rFonts w:eastAsia="Times New Roman"/>
          <w:bCs/>
          <w:kern w:val="18"/>
          <w:lang w:eastAsia="es-ES"/>
        </w:rPr>
        <w:t xml:space="preserve"> </w:t>
      </w:r>
      <w:r w:rsidRPr="003E0B07">
        <w:rPr>
          <w:rFonts w:eastAsia="Times New Roman"/>
          <w:bCs/>
          <w:i/>
          <w:kern w:val="18"/>
          <w:lang w:eastAsia="es-ES"/>
        </w:rPr>
        <w:t>et al</w:t>
      </w:r>
      <w:r w:rsidRPr="003E0B07">
        <w:rPr>
          <w:rFonts w:eastAsia="Times New Roman"/>
          <w:bCs/>
          <w:kern w:val="18"/>
          <w:lang w:eastAsia="es-ES"/>
        </w:rPr>
        <w:t xml:space="preserve">., 2012; </w:t>
      </w:r>
      <w:proofErr w:type="spellStart"/>
      <w:r w:rsidRPr="003E0B07">
        <w:rPr>
          <w:rFonts w:eastAsia="Times New Roman"/>
          <w:bCs/>
          <w:kern w:val="18"/>
          <w:lang w:eastAsia="es-ES"/>
        </w:rPr>
        <w:t>Birkman</w:t>
      </w:r>
      <w:proofErr w:type="spellEnd"/>
      <w:r w:rsidRPr="003E0B07">
        <w:rPr>
          <w:rFonts w:eastAsia="Times New Roman"/>
          <w:bCs/>
          <w:kern w:val="18"/>
          <w:lang w:eastAsia="es-ES"/>
        </w:rPr>
        <w:t xml:space="preserve">, 2007; Cardona, 2005; </w:t>
      </w:r>
      <w:proofErr w:type="spellStart"/>
      <w:r w:rsidRPr="003E0B07">
        <w:rPr>
          <w:rFonts w:eastAsia="Times New Roman"/>
          <w:bCs/>
          <w:kern w:val="18"/>
          <w:lang w:eastAsia="es-ES"/>
        </w:rPr>
        <w:t>D’Ercole</w:t>
      </w:r>
      <w:proofErr w:type="spellEnd"/>
      <w:r w:rsidRPr="003E0B07">
        <w:rPr>
          <w:rFonts w:eastAsia="Times New Roman"/>
          <w:bCs/>
          <w:kern w:val="18"/>
          <w:lang w:eastAsia="es-ES"/>
        </w:rPr>
        <w:t xml:space="preserve"> y </w:t>
      </w:r>
      <w:proofErr w:type="spellStart"/>
      <w:r w:rsidRPr="003E0B07">
        <w:rPr>
          <w:rFonts w:eastAsia="Times New Roman"/>
          <w:bCs/>
          <w:kern w:val="18"/>
          <w:lang w:eastAsia="es-ES"/>
        </w:rPr>
        <w:t>Metzger</w:t>
      </w:r>
      <w:proofErr w:type="spellEnd"/>
      <w:r w:rsidRPr="003E0B07">
        <w:rPr>
          <w:rFonts w:eastAsia="Times New Roman"/>
          <w:bCs/>
          <w:kern w:val="18"/>
          <w:lang w:eastAsia="es-ES"/>
        </w:rPr>
        <w:t xml:space="preserve">, 2004; </w:t>
      </w:r>
      <w:proofErr w:type="spellStart"/>
      <w:r w:rsidRPr="003E0B07">
        <w:rPr>
          <w:rFonts w:eastAsia="Times New Roman"/>
          <w:bCs/>
          <w:kern w:val="18"/>
          <w:lang w:eastAsia="es-ES"/>
        </w:rPr>
        <w:t>Polsky</w:t>
      </w:r>
      <w:proofErr w:type="spellEnd"/>
      <w:r w:rsidRPr="003E0B07">
        <w:rPr>
          <w:rFonts w:eastAsia="Times New Roman"/>
          <w:bCs/>
          <w:kern w:val="18"/>
          <w:lang w:eastAsia="es-ES"/>
        </w:rPr>
        <w:t xml:space="preserve"> </w:t>
      </w:r>
      <w:r w:rsidRPr="003E0B07">
        <w:rPr>
          <w:rFonts w:eastAsia="Times New Roman"/>
          <w:bCs/>
          <w:i/>
          <w:kern w:val="18"/>
          <w:lang w:eastAsia="es-ES"/>
        </w:rPr>
        <w:t>et al</w:t>
      </w:r>
      <w:r w:rsidRPr="003E0B07">
        <w:rPr>
          <w:rFonts w:eastAsia="Times New Roman"/>
          <w:bCs/>
          <w:kern w:val="18"/>
          <w:lang w:eastAsia="es-ES"/>
        </w:rPr>
        <w:t xml:space="preserve">., 2003; </w:t>
      </w:r>
      <w:proofErr w:type="spellStart"/>
      <w:r w:rsidRPr="003E0B07">
        <w:rPr>
          <w:rFonts w:eastAsia="Times New Roman"/>
          <w:bCs/>
          <w:kern w:val="18"/>
          <w:lang w:eastAsia="es-ES"/>
        </w:rPr>
        <w:t>Rhased</w:t>
      </w:r>
      <w:proofErr w:type="spellEnd"/>
      <w:r w:rsidRPr="003E0B07">
        <w:rPr>
          <w:rFonts w:eastAsia="Times New Roman"/>
          <w:bCs/>
          <w:kern w:val="18"/>
          <w:lang w:eastAsia="es-ES"/>
        </w:rPr>
        <w:t xml:space="preserve"> y </w:t>
      </w:r>
      <w:proofErr w:type="spellStart"/>
      <w:r w:rsidRPr="003E0B07">
        <w:rPr>
          <w:rFonts w:eastAsia="Times New Roman"/>
          <w:bCs/>
          <w:kern w:val="18"/>
          <w:lang w:eastAsia="es-ES"/>
        </w:rPr>
        <w:t>Weeks</w:t>
      </w:r>
      <w:proofErr w:type="spellEnd"/>
      <w:r w:rsidRPr="003E0B07">
        <w:rPr>
          <w:rFonts w:eastAsia="Times New Roman"/>
          <w:bCs/>
          <w:kern w:val="18"/>
          <w:lang w:eastAsia="es-ES"/>
        </w:rPr>
        <w:t>, 2003; Villagrán de León, 2006). Cuando se plantean a escala local, se suele</w:t>
      </w:r>
      <w:r>
        <w:rPr>
          <w:rFonts w:eastAsia="Times New Roman"/>
          <w:bCs/>
          <w:kern w:val="18"/>
          <w:lang w:eastAsia="es-ES"/>
        </w:rPr>
        <w:t xml:space="preserve">n centrar en </w:t>
      </w:r>
      <w:r w:rsidRPr="003E0B07">
        <w:rPr>
          <w:rFonts w:eastAsia="Times New Roman"/>
          <w:bCs/>
          <w:kern w:val="18"/>
          <w:lang w:eastAsia="es-ES"/>
        </w:rPr>
        <w:t xml:space="preserve">la identificación de diferencias espaciales en el ámbito de una región concreta, </w:t>
      </w:r>
      <w:r>
        <w:rPr>
          <w:rFonts w:eastAsia="Times New Roman"/>
          <w:bCs/>
          <w:kern w:val="18"/>
          <w:lang w:eastAsia="es-ES"/>
        </w:rPr>
        <w:t xml:space="preserve">para </w:t>
      </w:r>
      <w:r w:rsidRPr="003E0B07">
        <w:rPr>
          <w:rFonts w:eastAsia="Times New Roman"/>
          <w:bCs/>
          <w:kern w:val="18"/>
          <w:lang w:eastAsia="es-ES"/>
        </w:rPr>
        <w:t xml:space="preserve">diseñar con posterioridad medidas de </w:t>
      </w:r>
      <w:r>
        <w:rPr>
          <w:rFonts w:eastAsia="Times New Roman"/>
          <w:bCs/>
          <w:kern w:val="18"/>
          <w:lang w:eastAsia="es-ES"/>
        </w:rPr>
        <w:t>reducción del riesgo</w:t>
      </w:r>
      <w:r w:rsidRPr="003E0B07">
        <w:rPr>
          <w:rFonts w:eastAsia="Times New Roman"/>
          <w:bCs/>
          <w:kern w:val="18"/>
          <w:lang w:eastAsia="es-ES"/>
        </w:rPr>
        <w:t xml:space="preserve">. Experiencias como las de Aroca-Jiménez </w:t>
      </w:r>
      <w:r w:rsidRPr="003E0B07">
        <w:rPr>
          <w:rFonts w:eastAsia="Times New Roman"/>
          <w:bCs/>
          <w:i/>
          <w:kern w:val="18"/>
          <w:lang w:eastAsia="es-ES"/>
        </w:rPr>
        <w:t xml:space="preserve">et al. </w:t>
      </w:r>
      <w:r w:rsidRPr="003E0B07">
        <w:rPr>
          <w:rFonts w:eastAsia="Times New Roman"/>
          <w:bCs/>
          <w:kern w:val="18"/>
          <w:lang w:eastAsia="es-ES"/>
        </w:rPr>
        <w:t>(2018) en Castilla-La Mancha se caracterizan por su enfoque estadístico y consideración de la administración municipal como unidad mínima de análisis. A este nivel, la disponibilidad de información estadística y una cierta heterogeneidad ambiental y socio-económica entre los 919 municipios de esa Comunidad Autónoma posibilitan el reconocimiento de d</w:t>
      </w:r>
      <w:r>
        <w:rPr>
          <w:rFonts w:eastAsia="Times New Roman"/>
          <w:bCs/>
          <w:kern w:val="18"/>
          <w:lang w:eastAsia="es-ES"/>
        </w:rPr>
        <w:t>esigualdades</w:t>
      </w:r>
      <w:r w:rsidRPr="003E0B07">
        <w:rPr>
          <w:rFonts w:eastAsia="Times New Roman"/>
          <w:bCs/>
          <w:kern w:val="18"/>
          <w:lang w:eastAsia="es-ES"/>
        </w:rPr>
        <w:t xml:space="preserve"> geográficas. Este hecho es extensivo </w:t>
      </w:r>
      <w:r w:rsidRPr="00AF4FC6">
        <w:rPr>
          <w:rFonts w:eastAsia="Times New Roman"/>
          <w:bCs/>
          <w:kern w:val="18"/>
          <w:lang w:eastAsia="es-ES"/>
        </w:rPr>
        <w:t>al análisis</w:t>
      </w:r>
      <w:r w:rsidRPr="003E0B07">
        <w:rPr>
          <w:rFonts w:eastAsia="Times New Roman"/>
          <w:bCs/>
          <w:kern w:val="18"/>
          <w:lang w:eastAsia="es-ES"/>
        </w:rPr>
        <w:t xml:space="preserve"> en grandes cuencas, como pueden ser los estudios realizados al respecto en América Central (Jiménez </w:t>
      </w:r>
      <w:r w:rsidRPr="003E0B07">
        <w:rPr>
          <w:rFonts w:eastAsia="Times New Roman"/>
          <w:bCs/>
          <w:i/>
          <w:kern w:val="18"/>
          <w:lang w:eastAsia="es-ES"/>
        </w:rPr>
        <w:t>et al</w:t>
      </w:r>
      <w:r w:rsidRPr="003E0B07">
        <w:rPr>
          <w:rFonts w:eastAsia="Times New Roman"/>
          <w:bCs/>
          <w:kern w:val="18"/>
          <w:lang w:eastAsia="es-ES"/>
        </w:rPr>
        <w:t xml:space="preserve">., 2004). A partir de ellos es factible distinguir con mayor claridad diferentes tipos o ejes de vulnerabilidad – desde la económica y política hasta la social – cuya consideración posibilita el establecimiento de un índice de conjunto. </w:t>
      </w:r>
    </w:p>
    <w:p w14:paraId="7E7A6C3C" w14:textId="77777777" w:rsidR="00C37732" w:rsidRDefault="00C37732" w:rsidP="00F82537">
      <w:pPr>
        <w:ind w:firstLine="426"/>
        <w:contextualSpacing/>
        <w:jc w:val="both"/>
        <w:rPr>
          <w:rFonts w:eastAsia="Times New Roman"/>
          <w:bCs/>
          <w:kern w:val="18"/>
          <w:lang w:eastAsia="es-ES"/>
        </w:rPr>
      </w:pPr>
      <w:r w:rsidRPr="003E0B07">
        <w:rPr>
          <w:rFonts w:eastAsia="Times New Roman"/>
          <w:bCs/>
          <w:kern w:val="18"/>
          <w:lang w:eastAsia="es-ES"/>
        </w:rPr>
        <w:t xml:space="preserve">La cuestión entraña </w:t>
      </w:r>
      <w:r>
        <w:rPr>
          <w:rFonts w:eastAsia="Times New Roman"/>
          <w:bCs/>
          <w:kern w:val="18"/>
          <w:lang w:eastAsia="es-ES"/>
        </w:rPr>
        <w:t>mayor</w:t>
      </w:r>
      <w:r w:rsidRPr="003E0B07">
        <w:rPr>
          <w:rFonts w:eastAsia="Times New Roman"/>
          <w:bCs/>
          <w:kern w:val="18"/>
          <w:lang w:eastAsia="es-ES"/>
        </w:rPr>
        <w:t xml:space="preserve"> dificultad si el espacio de estudio se reduce a un enclave urbano local con cierta homogeneidad, en cuanto a población residente, </w:t>
      </w:r>
      <w:r>
        <w:rPr>
          <w:rFonts w:eastAsia="Times New Roman"/>
          <w:bCs/>
          <w:kern w:val="18"/>
          <w:lang w:eastAsia="es-ES"/>
        </w:rPr>
        <w:t xml:space="preserve">número de </w:t>
      </w:r>
      <w:r w:rsidRPr="003E0B07">
        <w:rPr>
          <w:rFonts w:eastAsia="Times New Roman"/>
          <w:bCs/>
          <w:kern w:val="18"/>
          <w:lang w:eastAsia="es-ES"/>
        </w:rPr>
        <w:t>turistas, densidad urbana, actividad económica y aspectos sociales. Así sucede en el ámbito conformado por Arona y Adeje, donde la distinción del grado de vulnerabilidad puede radicar sólo en matices. En este sentido, la antigüedad de las edificaciones, la identificación de áreas afectadas de manera recurrente por las avenidas, la pendiente del terreno, las construcciones bajo rasante o el aforo pueden tenerse como indicadores, que influyan en la diferenciación espacial de la susceptibilidad de cada una de las di</w:t>
      </w:r>
      <w:r>
        <w:rPr>
          <w:rFonts w:eastAsia="Times New Roman"/>
          <w:bCs/>
          <w:kern w:val="18"/>
          <w:lang w:eastAsia="es-ES"/>
        </w:rPr>
        <w:t xml:space="preserve">versas </w:t>
      </w:r>
      <w:r w:rsidRPr="003E0B07">
        <w:rPr>
          <w:rFonts w:eastAsia="Times New Roman"/>
          <w:bCs/>
          <w:kern w:val="18"/>
          <w:lang w:eastAsia="es-ES"/>
        </w:rPr>
        <w:t xml:space="preserve">estructuras existentes a ser dañadas con motivo de un evento de inundación. </w:t>
      </w:r>
      <w:r>
        <w:rPr>
          <w:rFonts w:eastAsia="Times New Roman"/>
          <w:bCs/>
          <w:kern w:val="18"/>
          <w:lang w:eastAsia="es-ES"/>
        </w:rPr>
        <w:t>Examina</w:t>
      </w:r>
      <w:r w:rsidRPr="003E0B07">
        <w:rPr>
          <w:rFonts w:eastAsia="Times New Roman"/>
          <w:bCs/>
          <w:kern w:val="18"/>
          <w:lang w:eastAsia="es-ES"/>
        </w:rPr>
        <w:t xml:space="preserve">r la vulnerabilidad a este nivel de detalle suele conllevar, por lo general, importantes esfuerzos a la hora de generar información, </w:t>
      </w:r>
      <w:r>
        <w:rPr>
          <w:rFonts w:eastAsia="Times New Roman"/>
          <w:bCs/>
          <w:kern w:val="18"/>
          <w:lang w:eastAsia="es-ES"/>
        </w:rPr>
        <w:t xml:space="preserve">en especial si </w:t>
      </w:r>
      <w:r w:rsidRPr="003E0B07">
        <w:rPr>
          <w:rFonts w:eastAsia="Times New Roman"/>
          <w:bCs/>
          <w:kern w:val="18"/>
          <w:lang w:eastAsia="es-ES"/>
        </w:rPr>
        <w:t>los datos no están siempre disponibles y su obtención requiere gran inversión de tiempo y recursos. Por ello, contar con un procedimiento para su evaluación de forma útil y factible, según los registros con que se puede trabajar y hacerlo a escala local, es de interés notable desde la óptica del planeamiento, sobre todo para la reducción del riesgo.</w:t>
      </w:r>
      <w:r>
        <w:rPr>
          <w:rFonts w:eastAsia="Times New Roman"/>
          <w:bCs/>
          <w:kern w:val="18"/>
          <w:lang w:eastAsia="es-ES"/>
        </w:rPr>
        <w:t xml:space="preserve"> </w:t>
      </w:r>
    </w:p>
    <w:p w14:paraId="3997477D" w14:textId="77777777" w:rsidR="00C37732" w:rsidRDefault="00C37732" w:rsidP="00C37732">
      <w:pPr>
        <w:ind w:firstLine="709"/>
        <w:contextualSpacing/>
        <w:jc w:val="both"/>
        <w:rPr>
          <w:rFonts w:eastAsia="Times New Roman"/>
          <w:b/>
          <w:bCs/>
          <w:kern w:val="18"/>
          <w:lang w:eastAsia="es-ES"/>
        </w:rPr>
      </w:pPr>
    </w:p>
    <w:p w14:paraId="7B9E4C77" w14:textId="77777777" w:rsidR="00C37732" w:rsidRPr="003E0B07" w:rsidRDefault="00C37732" w:rsidP="00C37732">
      <w:pPr>
        <w:contextualSpacing/>
        <w:jc w:val="both"/>
        <w:outlineLvl w:val="0"/>
        <w:rPr>
          <w:rFonts w:eastAsia="Times New Roman"/>
          <w:b/>
          <w:bCs/>
          <w:kern w:val="18"/>
          <w:lang w:eastAsia="es-ES"/>
        </w:rPr>
      </w:pPr>
      <w:r w:rsidRPr="003E0B07">
        <w:rPr>
          <w:rFonts w:eastAsia="Times New Roman"/>
          <w:b/>
          <w:bCs/>
          <w:kern w:val="18"/>
          <w:lang w:eastAsia="es-ES"/>
        </w:rPr>
        <w:t>3.</w:t>
      </w:r>
      <w:r>
        <w:rPr>
          <w:rFonts w:eastAsia="Times New Roman"/>
          <w:b/>
          <w:bCs/>
          <w:kern w:val="18"/>
          <w:lang w:eastAsia="es-ES"/>
        </w:rPr>
        <w:t>3</w:t>
      </w:r>
      <w:r w:rsidRPr="003E0B07">
        <w:rPr>
          <w:rFonts w:eastAsia="Times New Roman"/>
          <w:b/>
          <w:bCs/>
          <w:kern w:val="18"/>
          <w:lang w:eastAsia="es-ES"/>
        </w:rPr>
        <w:t xml:space="preserve"> </w:t>
      </w:r>
      <w:r>
        <w:rPr>
          <w:rFonts w:eastAsia="Times New Roman"/>
          <w:b/>
          <w:bCs/>
          <w:kern w:val="18"/>
          <w:lang w:eastAsia="es-ES"/>
        </w:rPr>
        <w:t>Cálculo</w:t>
      </w:r>
      <w:r w:rsidRPr="003E0B07">
        <w:rPr>
          <w:rFonts w:eastAsia="Times New Roman"/>
          <w:b/>
          <w:bCs/>
          <w:kern w:val="18"/>
          <w:lang w:eastAsia="es-ES"/>
        </w:rPr>
        <w:t xml:space="preserve"> de la vulnerabilidad</w:t>
      </w:r>
      <w:r w:rsidRPr="004E0C67">
        <w:rPr>
          <w:rFonts w:eastAsia="Times New Roman"/>
          <w:b/>
          <w:bCs/>
          <w:kern w:val="18"/>
          <w:lang w:eastAsia="es-ES"/>
        </w:rPr>
        <w:t xml:space="preserve"> </w:t>
      </w:r>
      <w:r>
        <w:rPr>
          <w:rFonts w:eastAsia="Times New Roman"/>
          <w:b/>
          <w:bCs/>
          <w:kern w:val="18"/>
          <w:lang w:eastAsia="es-ES"/>
        </w:rPr>
        <w:t>específica (</w:t>
      </w:r>
      <w:proofErr w:type="spellStart"/>
      <w:r>
        <w:rPr>
          <w:rFonts w:eastAsia="Times New Roman"/>
          <w:b/>
          <w:bCs/>
          <w:kern w:val="18"/>
          <w:lang w:eastAsia="es-ES"/>
        </w:rPr>
        <w:t>Vt</w:t>
      </w:r>
      <w:proofErr w:type="spellEnd"/>
      <w:r>
        <w:rPr>
          <w:rFonts w:eastAsia="Times New Roman"/>
          <w:b/>
          <w:bCs/>
          <w:kern w:val="18"/>
          <w:lang w:eastAsia="es-ES"/>
        </w:rPr>
        <w:t>)</w:t>
      </w:r>
      <w:r w:rsidRPr="003E0B07">
        <w:rPr>
          <w:rFonts w:eastAsia="Times New Roman"/>
          <w:b/>
          <w:bCs/>
          <w:kern w:val="18"/>
          <w:lang w:eastAsia="es-ES"/>
        </w:rPr>
        <w:t xml:space="preserve"> </w:t>
      </w:r>
    </w:p>
    <w:p w14:paraId="02E86B11" w14:textId="77777777" w:rsidR="00C37732" w:rsidRDefault="00C37732" w:rsidP="00F82537">
      <w:pPr>
        <w:ind w:firstLine="426"/>
        <w:contextualSpacing/>
        <w:jc w:val="both"/>
        <w:rPr>
          <w:rFonts w:eastAsia="Times New Roman"/>
          <w:bCs/>
          <w:kern w:val="18"/>
          <w:lang w:eastAsia="es-ES"/>
        </w:rPr>
      </w:pPr>
      <w:r w:rsidRPr="003E0B07">
        <w:rPr>
          <w:rFonts w:eastAsia="Times New Roman"/>
          <w:bCs/>
          <w:kern w:val="18"/>
          <w:lang w:eastAsia="es-ES"/>
        </w:rPr>
        <w:lastRenderedPageBreak/>
        <w:t xml:space="preserve">Durante el Decenio Internacional de los Desastres Naturales declarado por Naciones Unidas en 1990, </w:t>
      </w:r>
      <w:r>
        <w:rPr>
          <w:rFonts w:eastAsia="Times New Roman"/>
          <w:bCs/>
          <w:kern w:val="18"/>
          <w:lang w:eastAsia="es-ES"/>
        </w:rPr>
        <w:t>esta</w:t>
      </w:r>
      <w:r w:rsidRPr="003E0B07">
        <w:rPr>
          <w:rFonts w:eastAsia="Times New Roman"/>
          <w:bCs/>
          <w:kern w:val="18"/>
          <w:lang w:eastAsia="es-ES"/>
        </w:rPr>
        <w:t xml:space="preserve"> </w:t>
      </w:r>
      <w:r>
        <w:rPr>
          <w:rFonts w:eastAsia="Times New Roman"/>
          <w:bCs/>
          <w:kern w:val="18"/>
          <w:lang w:eastAsia="es-ES"/>
        </w:rPr>
        <w:t xml:space="preserve">organización </w:t>
      </w:r>
      <w:r w:rsidRPr="003E0B07">
        <w:rPr>
          <w:rFonts w:eastAsia="Times New Roman"/>
          <w:bCs/>
          <w:kern w:val="18"/>
          <w:lang w:eastAsia="es-ES"/>
        </w:rPr>
        <w:t xml:space="preserve">publicó un manual dirigido a gestores de planificación para </w:t>
      </w:r>
      <w:r>
        <w:rPr>
          <w:rFonts w:eastAsia="Times New Roman"/>
          <w:bCs/>
          <w:kern w:val="18"/>
          <w:lang w:eastAsia="es-ES"/>
        </w:rPr>
        <w:t xml:space="preserve">apoyar su labor en </w:t>
      </w:r>
      <w:r w:rsidRPr="003E0B07">
        <w:rPr>
          <w:rFonts w:eastAsia="Times New Roman"/>
          <w:bCs/>
          <w:kern w:val="18"/>
          <w:lang w:eastAsia="es-ES"/>
        </w:rPr>
        <w:t xml:space="preserve">la mitigación de desastres naturales. En </w:t>
      </w:r>
      <w:r>
        <w:rPr>
          <w:rFonts w:eastAsia="Times New Roman"/>
          <w:bCs/>
          <w:kern w:val="18"/>
          <w:lang w:eastAsia="es-ES"/>
        </w:rPr>
        <w:t>él</w:t>
      </w:r>
      <w:r w:rsidRPr="003E0B07">
        <w:rPr>
          <w:rFonts w:eastAsia="Times New Roman"/>
          <w:bCs/>
          <w:kern w:val="18"/>
          <w:lang w:eastAsia="es-ES"/>
        </w:rPr>
        <w:t xml:space="preserve"> se recoge una metodología para la evaluación del riesgo (UNDRO, 1991</w:t>
      </w:r>
      <w:r>
        <w:rPr>
          <w:rFonts w:eastAsia="Times New Roman"/>
          <w:bCs/>
          <w:kern w:val="18"/>
          <w:lang w:eastAsia="es-ES"/>
        </w:rPr>
        <w:t>:</w:t>
      </w:r>
      <w:r w:rsidRPr="003E0B07">
        <w:rPr>
          <w:rFonts w:eastAsia="Times New Roman"/>
          <w:bCs/>
          <w:kern w:val="18"/>
          <w:lang w:eastAsia="es-ES"/>
        </w:rPr>
        <w:t>71), que</w:t>
      </w:r>
      <w:r>
        <w:rPr>
          <w:rFonts w:eastAsia="Times New Roman"/>
          <w:bCs/>
          <w:kern w:val="18"/>
          <w:lang w:eastAsia="es-ES"/>
        </w:rPr>
        <w:t>,</w:t>
      </w:r>
      <w:r w:rsidRPr="003E0B07">
        <w:rPr>
          <w:rFonts w:eastAsia="Times New Roman"/>
          <w:bCs/>
          <w:kern w:val="18"/>
          <w:lang w:eastAsia="es-ES"/>
        </w:rPr>
        <w:t xml:space="preserve"> en </w:t>
      </w:r>
      <w:r>
        <w:rPr>
          <w:rFonts w:eastAsia="Times New Roman"/>
          <w:bCs/>
          <w:kern w:val="18"/>
          <w:lang w:eastAsia="es-ES"/>
        </w:rPr>
        <w:t xml:space="preserve">lo esencial, </w:t>
      </w:r>
      <w:r w:rsidRPr="003E0B07">
        <w:rPr>
          <w:rFonts w:eastAsia="Times New Roman"/>
          <w:bCs/>
          <w:kern w:val="18"/>
          <w:lang w:eastAsia="es-ES"/>
        </w:rPr>
        <w:t xml:space="preserve">se sigue empleando </w:t>
      </w:r>
      <w:r>
        <w:rPr>
          <w:rFonts w:eastAsia="Times New Roman"/>
          <w:bCs/>
          <w:kern w:val="18"/>
          <w:lang w:eastAsia="es-ES"/>
        </w:rPr>
        <w:t xml:space="preserve">en la actualidad. De ahí que constituya </w:t>
      </w:r>
      <w:r w:rsidRPr="003E0B07">
        <w:rPr>
          <w:rFonts w:eastAsia="Times New Roman"/>
          <w:bCs/>
          <w:kern w:val="18"/>
          <w:lang w:eastAsia="es-ES"/>
        </w:rPr>
        <w:t xml:space="preserve">la base de muchos de los métodos </w:t>
      </w:r>
      <w:r>
        <w:rPr>
          <w:rFonts w:eastAsia="Times New Roman"/>
          <w:bCs/>
          <w:kern w:val="18"/>
          <w:lang w:eastAsia="es-ES"/>
        </w:rPr>
        <w:t xml:space="preserve">aquí </w:t>
      </w:r>
      <w:r w:rsidRPr="003E0B07">
        <w:rPr>
          <w:rFonts w:eastAsia="Times New Roman"/>
          <w:bCs/>
          <w:kern w:val="18"/>
          <w:lang w:eastAsia="es-ES"/>
        </w:rPr>
        <w:t>c</w:t>
      </w:r>
      <w:r>
        <w:rPr>
          <w:rFonts w:eastAsia="Times New Roman"/>
          <w:bCs/>
          <w:kern w:val="18"/>
          <w:lang w:eastAsia="es-ES"/>
        </w:rPr>
        <w:t>onsultados</w:t>
      </w:r>
      <w:r w:rsidRPr="003E0B07">
        <w:rPr>
          <w:rFonts w:eastAsia="Times New Roman"/>
          <w:bCs/>
          <w:kern w:val="18"/>
          <w:lang w:eastAsia="es-ES"/>
        </w:rPr>
        <w:t xml:space="preserve">. </w:t>
      </w:r>
    </w:p>
    <w:p w14:paraId="29602C24" w14:textId="77777777" w:rsidR="00C37732" w:rsidRDefault="00C37732" w:rsidP="00F82537">
      <w:pPr>
        <w:ind w:firstLine="426"/>
        <w:contextualSpacing/>
        <w:jc w:val="both"/>
        <w:rPr>
          <w:rFonts w:eastAsia="Times New Roman"/>
          <w:bCs/>
          <w:kern w:val="18"/>
          <w:lang w:eastAsia="es-ES"/>
        </w:rPr>
      </w:pPr>
      <w:r>
        <w:rPr>
          <w:rFonts w:eastAsia="Times New Roman"/>
          <w:bCs/>
          <w:kern w:val="18"/>
          <w:lang w:eastAsia="es-ES"/>
        </w:rPr>
        <w:t xml:space="preserve">De la consideración de tal metodología resulta que para </w:t>
      </w:r>
      <w:r w:rsidRPr="003E0B07">
        <w:rPr>
          <w:rFonts w:eastAsia="Times New Roman"/>
          <w:bCs/>
          <w:kern w:val="18"/>
          <w:lang w:eastAsia="es-ES"/>
        </w:rPr>
        <w:t>el cómputo del riesgo total (</w:t>
      </w:r>
      <w:proofErr w:type="spellStart"/>
      <w:r w:rsidRPr="003E0B07">
        <w:rPr>
          <w:rFonts w:eastAsia="Times New Roman"/>
          <w:bCs/>
          <w:kern w:val="18"/>
          <w:lang w:eastAsia="es-ES"/>
        </w:rPr>
        <w:t>Rt</w:t>
      </w:r>
      <w:proofErr w:type="spellEnd"/>
      <w:r w:rsidRPr="003E0B07">
        <w:rPr>
          <w:rFonts w:eastAsia="Times New Roman"/>
          <w:bCs/>
          <w:kern w:val="18"/>
          <w:lang w:eastAsia="es-ES"/>
        </w:rPr>
        <w:t xml:space="preserve">) </w:t>
      </w:r>
      <w:r>
        <w:rPr>
          <w:rFonts w:eastAsia="Times New Roman"/>
          <w:bCs/>
          <w:kern w:val="18"/>
          <w:lang w:eastAsia="es-ES"/>
        </w:rPr>
        <w:t xml:space="preserve">es preciso que el mismo sea </w:t>
      </w:r>
      <w:r w:rsidRPr="003E0B07">
        <w:rPr>
          <w:rFonts w:eastAsia="Times New Roman"/>
          <w:bCs/>
          <w:kern w:val="18"/>
          <w:lang w:eastAsia="es-ES"/>
        </w:rPr>
        <w:t>igual al producto de los elementos en</w:t>
      </w:r>
      <w:r>
        <w:rPr>
          <w:rFonts w:eastAsia="Times New Roman"/>
          <w:bCs/>
          <w:kern w:val="18"/>
          <w:lang w:eastAsia="es-ES"/>
        </w:rPr>
        <w:t xml:space="preserve"> riesgo o vulnerables (E) y el r</w:t>
      </w:r>
      <w:r w:rsidRPr="003E0B07">
        <w:rPr>
          <w:rFonts w:eastAsia="Times New Roman"/>
          <w:bCs/>
          <w:kern w:val="18"/>
          <w:lang w:eastAsia="es-ES"/>
        </w:rPr>
        <w:t>iesgo específico (</w:t>
      </w:r>
      <w:proofErr w:type="spellStart"/>
      <w:r w:rsidRPr="003E0B07">
        <w:rPr>
          <w:rFonts w:eastAsia="Times New Roman"/>
          <w:bCs/>
          <w:kern w:val="18"/>
          <w:lang w:eastAsia="es-ES"/>
        </w:rPr>
        <w:t>Rs</w:t>
      </w:r>
      <w:proofErr w:type="spellEnd"/>
      <w:r w:rsidRPr="003E0B07">
        <w:rPr>
          <w:rFonts w:eastAsia="Times New Roman"/>
          <w:bCs/>
          <w:kern w:val="18"/>
          <w:lang w:eastAsia="es-ES"/>
        </w:rPr>
        <w:t>). E</w:t>
      </w:r>
      <w:r>
        <w:rPr>
          <w:rFonts w:eastAsia="Times New Roman"/>
          <w:bCs/>
          <w:kern w:val="18"/>
          <w:lang w:eastAsia="es-ES"/>
        </w:rPr>
        <w:t xml:space="preserve">ste último se expresa, </w:t>
      </w:r>
      <w:r w:rsidRPr="003E0B07">
        <w:rPr>
          <w:rFonts w:eastAsia="Times New Roman"/>
          <w:bCs/>
          <w:kern w:val="18"/>
          <w:lang w:eastAsia="es-ES"/>
        </w:rPr>
        <w:t xml:space="preserve">a su vez, en función del producto entre la </w:t>
      </w:r>
      <w:r>
        <w:rPr>
          <w:rFonts w:eastAsia="Times New Roman"/>
          <w:bCs/>
          <w:kern w:val="18"/>
          <w:lang w:eastAsia="es-ES"/>
        </w:rPr>
        <w:t>a</w:t>
      </w:r>
      <w:r w:rsidRPr="003E0B07">
        <w:rPr>
          <w:rFonts w:eastAsia="Times New Roman"/>
          <w:bCs/>
          <w:kern w:val="18"/>
          <w:lang w:eastAsia="es-ES"/>
        </w:rPr>
        <w:t xml:space="preserve">menaza (A) y la </w:t>
      </w:r>
      <w:r>
        <w:rPr>
          <w:rFonts w:eastAsia="Times New Roman"/>
          <w:bCs/>
          <w:kern w:val="18"/>
          <w:lang w:eastAsia="es-ES"/>
        </w:rPr>
        <w:t>v</w:t>
      </w:r>
      <w:r w:rsidRPr="003E0B07">
        <w:rPr>
          <w:rFonts w:eastAsia="Times New Roman"/>
          <w:bCs/>
          <w:kern w:val="18"/>
          <w:lang w:eastAsia="es-ES"/>
        </w:rPr>
        <w:t>ulnerabilidad (V). De este modo:</w:t>
      </w:r>
    </w:p>
    <w:p w14:paraId="698A2710" w14:textId="77777777" w:rsidR="00C37732" w:rsidRPr="003E0B07" w:rsidRDefault="00C37732" w:rsidP="00C37732">
      <w:pPr>
        <w:ind w:firstLine="708"/>
        <w:contextualSpacing/>
        <w:jc w:val="both"/>
        <w:rPr>
          <w:rFonts w:eastAsia="Times New Roman"/>
          <w:bCs/>
          <w:kern w:val="18"/>
          <w:lang w:eastAsia="es-ES"/>
        </w:rPr>
      </w:pPr>
    </w:p>
    <w:p w14:paraId="74097450" w14:textId="77777777" w:rsidR="00C37732" w:rsidRDefault="00C37732" w:rsidP="00C37732">
      <w:pPr>
        <w:contextualSpacing/>
        <w:jc w:val="center"/>
        <w:outlineLvl w:val="0"/>
        <w:rPr>
          <w:rFonts w:eastAsia="Times New Roman"/>
          <w:bCs/>
          <w:kern w:val="18"/>
          <w:lang w:eastAsia="es-ES"/>
        </w:rPr>
      </w:pPr>
      <w:proofErr w:type="spellStart"/>
      <w:r w:rsidRPr="003E0B07">
        <w:rPr>
          <w:rFonts w:eastAsia="Times New Roman"/>
          <w:bCs/>
          <w:kern w:val="18"/>
          <w:lang w:eastAsia="es-ES"/>
        </w:rPr>
        <w:t>Rt</w:t>
      </w:r>
      <w:proofErr w:type="spellEnd"/>
      <w:r w:rsidRPr="003E0B07">
        <w:rPr>
          <w:rFonts w:eastAsia="Times New Roman"/>
          <w:bCs/>
          <w:kern w:val="18"/>
          <w:lang w:eastAsia="es-ES"/>
        </w:rPr>
        <w:t xml:space="preserve"> = ∑ (E) (</w:t>
      </w:r>
      <w:proofErr w:type="spellStart"/>
      <w:r w:rsidRPr="003E0B07">
        <w:rPr>
          <w:rFonts w:eastAsia="Times New Roman"/>
          <w:bCs/>
          <w:kern w:val="18"/>
          <w:lang w:eastAsia="es-ES"/>
        </w:rPr>
        <w:t>Rs</w:t>
      </w:r>
      <w:proofErr w:type="spellEnd"/>
      <w:r w:rsidRPr="003E0B07">
        <w:rPr>
          <w:rFonts w:eastAsia="Times New Roman"/>
          <w:bCs/>
          <w:kern w:val="18"/>
          <w:lang w:eastAsia="es-ES"/>
        </w:rPr>
        <w:t>) = (E) (A * V)</w:t>
      </w:r>
    </w:p>
    <w:p w14:paraId="29C029A9" w14:textId="77777777" w:rsidR="00C37732" w:rsidRPr="003E0B07" w:rsidRDefault="00C37732" w:rsidP="00C37732">
      <w:pPr>
        <w:contextualSpacing/>
        <w:jc w:val="center"/>
        <w:outlineLvl w:val="0"/>
        <w:rPr>
          <w:rFonts w:eastAsia="Times New Roman"/>
          <w:bCs/>
          <w:kern w:val="18"/>
          <w:lang w:eastAsia="es-ES"/>
        </w:rPr>
      </w:pPr>
    </w:p>
    <w:p w14:paraId="4C0AF0F7" w14:textId="77777777" w:rsidR="00C37732" w:rsidRPr="003E0B07" w:rsidRDefault="00C37732" w:rsidP="00F82537">
      <w:pPr>
        <w:ind w:firstLine="426"/>
        <w:contextualSpacing/>
        <w:jc w:val="both"/>
        <w:rPr>
          <w:rFonts w:eastAsia="Times New Roman"/>
          <w:bCs/>
          <w:kern w:val="18"/>
          <w:lang w:eastAsia="es-ES"/>
        </w:rPr>
      </w:pPr>
      <w:r w:rsidRPr="003E0B07">
        <w:rPr>
          <w:rFonts w:eastAsia="Times New Roman"/>
          <w:bCs/>
          <w:kern w:val="18"/>
          <w:lang w:eastAsia="es-ES"/>
        </w:rPr>
        <w:t xml:space="preserve">El </w:t>
      </w:r>
      <w:r>
        <w:rPr>
          <w:rFonts w:eastAsia="Times New Roman"/>
          <w:bCs/>
          <w:kern w:val="18"/>
          <w:lang w:eastAsia="es-ES"/>
        </w:rPr>
        <w:t xml:space="preserve">significado otorgado al </w:t>
      </w:r>
      <w:r w:rsidRPr="003E0B07">
        <w:rPr>
          <w:rFonts w:eastAsia="Times New Roman"/>
          <w:bCs/>
          <w:kern w:val="18"/>
          <w:lang w:eastAsia="es-ES"/>
        </w:rPr>
        <w:t xml:space="preserve">riesgo específico en este planteamiento </w:t>
      </w:r>
      <w:r>
        <w:rPr>
          <w:rFonts w:eastAsia="Times New Roman"/>
          <w:bCs/>
          <w:kern w:val="18"/>
          <w:lang w:eastAsia="es-ES"/>
        </w:rPr>
        <w:t>guarda</w:t>
      </w:r>
      <w:r w:rsidRPr="003E0B07">
        <w:rPr>
          <w:rFonts w:eastAsia="Times New Roman"/>
          <w:bCs/>
          <w:kern w:val="18"/>
          <w:lang w:eastAsia="es-ES"/>
        </w:rPr>
        <w:t xml:space="preserve"> gran similitud con la forma en que</w:t>
      </w:r>
      <w:r>
        <w:rPr>
          <w:rFonts w:eastAsia="Times New Roman"/>
          <w:bCs/>
          <w:kern w:val="18"/>
          <w:lang w:eastAsia="es-ES"/>
        </w:rPr>
        <w:t xml:space="preserve">, por lo general, </w:t>
      </w:r>
      <w:r w:rsidRPr="003E0B07">
        <w:rPr>
          <w:rFonts w:eastAsia="Times New Roman"/>
          <w:bCs/>
          <w:kern w:val="18"/>
          <w:lang w:eastAsia="es-ES"/>
        </w:rPr>
        <w:t xml:space="preserve">se </w:t>
      </w:r>
      <w:r>
        <w:rPr>
          <w:rFonts w:eastAsia="Times New Roman"/>
          <w:bCs/>
          <w:kern w:val="18"/>
          <w:lang w:eastAsia="es-ES"/>
        </w:rPr>
        <w:t>concibe</w:t>
      </w:r>
      <w:r w:rsidRPr="003E0B07">
        <w:rPr>
          <w:rFonts w:eastAsia="Times New Roman"/>
          <w:bCs/>
          <w:kern w:val="18"/>
          <w:lang w:eastAsia="es-ES"/>
        </w:rPr>
        <w:t xml:space="preserve"> el concepto de vulnerabilidad. Lo que en este caso se denomina </w:t>
      </w:r>
      <w:r>
        <w:rPr>
          <w:rFonts w:eastAsia="Times New Roman"/>
          <w:bCs/>
          <w:kern w:val="18"/>
          <w:lang w:eastAsia="es-ES"/>
        </w:rPr>
        <w:t>r</w:t>
      </w:r>
      <w:r w:rsidRPr="003E0B07">
        <w:rPr>
          <w:rFonts w:eastAsia="Times New Roman"/>
          <w:bCs/>
          <w:kern w:val="18"/>
          <w:lang w:eastAsia="es-ES"/>
        </w:rPr>
        <w:t xml:space="preserve">iesgo </w:t>
      </w:r>
      <w:r>
        <w:rPr>
          <w:rFonts w:eastAsia="Times New Roman"/>
          <w:bCs/>
          <w:kern w:val="18"/>
          <w:lang w:eastAsia="es-ES"/>
        </w:rPr>
        <w:t>específico (</w:t>
      </w:r>
      <w:proofErr w:type="spellStart"/>
      <w:r>
        <w:rPr>
          <w:rFonts w:eastAsia="Times New Roman"/>
          <w:bCs/>
          <w:kern w:val="18"/>
          <w:lang w:eastAsia="es-ES"/>
        </w:rPr>
        <w:t>Rs</w:t>
      </w:r>
      <w:proofErr w:type="spellEnd"/>
      <w:r>
        <w:rPr>
          <w:rFonts w:eastAsia="Times New Roman"/>
          <w:bCs/>
          <w:kern w:val="18"/>
          <w:lang w:eastAsia="es-ES"/>
        </w:rPr>
        <w:t xml:space="preserve">) </w:t>
      </w:r>
      <w:r w:rsidRPr="003E0B07">
        <w:rPr>
          <w:rFonts w:eastAsia="Times New Roman"/>
          <w:bCs/>
          <w:kern w:val="18"/>
          <w:lang w:eastAsia="es-ES"/>
        </w:rPr>
        <w:t xml:space="preserve">puede ser </w:t>
      </w:r>
      <w:r>
        <w:rPr>
          <w:rFonts w:eastAsia="Times New Roman"/>
          <w:bCs/>
          <w:kern w:val="18"/>
          <w:lang w:eastAsia="es-ES"/>
        </w:rPr>
        <w:t>considerado,</w:t>
      </w:r>
      <w:r w:rsidRPr="003E0B07">
        <w:rPr>
          <w:rFonts w:eastAsia="Times New Roman"/>
          <w:bCs/>
          <w:kern w:val="18"/>
          <w:lang w:eastAsia="es-ES"/>
        </w:rPr>
        <w:t xml:space="preserve"> entonces</w:t>
      </w:r>
      <w:r>
        <w:rPr>
          <w:rFonts w:eastAsia="Times New Roman"/>
          <w:bCs/>
          <w:kern w:val="18"/>
          <w:lang w:eastAsia="es-ES"/>
        </w:rPr>
        <w:t>,</w:t>
      </w:r>
      <w:r w:rsidRPr="003E0B07">
        <w:rPr>
          <w:rFonts w:eastAsia="Times New Roman"/>
          <w:bCs/>
          <w:kern w:val="18"/>
          <w:lang w:eastAsia="es-ES"/>
        </w:rPr>
        <w:t xml:space="preserve"> como un cómputo de vulnerabilidad </w:t>
      </w:r>
      <w:r>
        <w:rPr>
          <w:rFonts w:eastAsia="Times New Roman"/>
          <w:bCs/>
          <w:kern w:val="18"/>
          <w:lang w:eastAsia="es-ES"/>
        </w:rPr>
        <w:t xml:space="preserve">específica </w:t>
      </w:r>
      <w:r w:rsidRPr="003E0B07">
        <w:rPr>
          <w:rFonts w:eastAsia="Times New Roman"/>
          <w:bCs/>
          <w:kern w:val="18"/>
          <w:lang w:eastAsia="es-ES"/>
        </w:rPr>
        <w:t>(</w:t>
      </w:r>
      <w:proofErr w:type="spellStart"/>
      <w:r w:rsidRPr="003E0B07">
        <w:rPr>
          <w:rFonts w:eastAsia="Times New Roman"/>
          <w:bCs/>
          <w:kern w:val="18"/>
          <w:lang w:eastAsia="es-ES"/>
        </w:rPr>
        <w:t>Vt</w:t>
      </w:r>
      <w:proofErr w:type="spellEnd"/>
      <w:r w:rsidRPr="003E0B07">
        <w:rPr>
          <w:rFonts w:eastAsia="Times New Roman"/>
          <w:bCs/>
          <w:kern w:val="18"/>
          <w:lang w:eastAsia="es-ES"/>
        </w:rPr>
        <w:t xml:space="preserve">), </w:t>
      </w:r>
      <w:r>
        <w:rPr>
          <w:rFonts w:eastAsia="Times New Roman"/>
          <w:bCs/>
          <w:kern w:val="18"/>
          <w:lang w:eastAsia="es-ES"/>
        </w:rPr>
        <w:t xml:space="preserve">cuyo cálculo tiene lugar en función del </w:t>
      </w:r>
      <w:r w:rsidRPr="003E0B07">
        <w:rPr>
          <w:rFonts w:eastAsia="Times New Roman"/>
          <w:bCs/>
          <w:kern w:val="18"/>
          <w:lang w:eastAsia="es-ES"/>
        </w:rPr>
        <w:t>tipo de elemento en riesgo (E). De este modo:</w:t>
      </w:r>
      <w:r>
        <w:rPr>
          <w:rFonts w:eastAsia="Times New Roman"/>
          <w:bCs/>
          <w:kern w:val="18"/>
          <w:lang w:eastAsia="es-ES"/>
        </w:rPr>
        <w:t xml:space="preserve"> </w:t>
      </w:r>
    </w:p>
    <w:p w14:paraId="5ACB12E3" w14:textId="77777777" w:rsidR="00C37732" w:rsidRPr="00530737" w:rsidRDefault="00C37732" w:rsidP="00C37732">
      <w:pPr>
        <w:contextualSpacing/>
        <w:jc w:val="center"/>
        <w:outlineLvl w:val="0"/>
        <w:rPr>
          <w:rFonts w:eastAsia="Times New Roman"/>
          <w:bCs/>
          <w:kern w:val="18"/>
          <w:lang w:val="pt-PT" w:eastAsia="es-ES"/>
        </w:rPr>
      </w:pPr>
      <w:proofErr w:type="spellStart"/>
      <w:r w:rsidRPr="00530737">
        <w:rPr>
          <w:rFonts w:eastAsia="Times New Roman"/>
          <w:bCs/>
          <w:kern w:val="18"/>
          <w:lang w:val="pt-PT" w:eastAsia="es-ES"/>
        </w:rPr>
        <w:t>Vt</w:t>
      </w:r>
      <w:proofErr w:type="spellEnd"/>
      <w:r w:rsidRPr="00530737">
        <w:rPr>
          <w:rFonts w:eastAsia="Times New Roman"/>
          <w:bCs/>
          <w:kern w:val="18"/>
          <w:lang w:val="pt-PT" w:eastAsia="es-ES"/>
        </w:rPr>
        <w:t xml:space="preserve"> = (E) (A * V)</w:t>
      </w:r>
    </w:p>
    <w:p w14:paraId="3BA08288" w14:textId="77777777" w:rsidR="00C37732" w:rsidRDefault="00C37732" w:rsidP="00C37732">
      <w:pPr>
        <w:contextualSpacing/>
        <w:outlineLvl w:val="0"/>
        <w:rPr>
          <w:rFonts w:eastAsia="Times New Roman"/>
          <w:bCs/>
          <w:kern w:val="18"/>
          <w:lang w:eastAsia="es-ES"/>
        </w:rPr>
      </w:pPr>
      <w:r w:rsidRPr="00530737">
        <w:rPr>
          <w:rFonts w:eastAsia="Times New Roman"/>
          <w:bCs/>
          <w:kern w:val="18"/>
          <w:lang w:eastAsia="es-ES"/>
        </w:rPr>
        <w:t>Donde:</w:t>
      </w:r>
    </w:p>
    <w:p w14:paraId="17BC5CBF" w14:textId="77777777" w:rsidR="00C37732" w:rsidRDefault="00C37732" w:rsidP="00C37732">
      <w:pPr>
        <w:contextualSpacing/>
        <w:jc w:val="both"/>
        <w:outlineLvl w:val="0"/>
        <w:rPr>
          <w:rFonts w:eastAsia="Times New Roman"/>
          <w:bCs/>
          <w:kern w:val="18"/>
          <w:lang w:eastAsia="es-ES"/>
        </w:rPr>
      </w:pPr>
      <w:proofErr w:type="spellStart"/>
      <w:r w:rsidRPr="00530737">
        <w:rPr>
          <w:rFonts w:eastAsia="Times New Roman"/>
          <w:b/>
          <w:bCs/>
          <w:kern w:val="18"/>
          <w:lang w:eastAsia="es-ES"/>
        </w:rPr>
        <w:t>Vt</w:t>
      </w:r>
      <w:proofErr w:type="spellEnd"/>
      <w:r w:rsidRPr="00530737">
        <w:rPr>
          <w:rFonts w:eastAsia="Times New Roman"/>
          <w:b/>
          <w:bCs/>
          <w:kern w:val="18"/>
          <w:lang w:eastAsia="es-ES"/>
        </w:rPr>
        <w:t xml:space="preserve"> </w:t>
      </w:r>
      <w:r>
        <w:rPr>
          <w:rFonts w:eastAsia="Times New Roman"/>
          <w:bCs/>
          <w:kern w:val="18"/>
          <w:lang w:eastAsia="es-ES"/>
        </w:rPr>
        <w:t>es la vulnerabilidad específica calculada para cada unidad de análisis (parcela catastral).</w:t>
      </w:r>
    </w:p>
    <w:p w14:paraId="303ECDD9" w14:textId="77777777" w:rsidR="00C37732" w:rsidRDefault="00C37732" w:rsidP="00C37732">
      <w:pPr>
        <w:contextualSpacing/>
        <w:jc w:val="both"/>
        <w:outlineLvl w:val="0"/>
        <w:rPr>
          <w:rFonts w:eastAsia="Times New Roman"/>
          <w:bCs/>
          <w:kern w:val="18"/>
          <w:lang w:eastAsia="es-ES"/>
        </w:rPr>
      </w:pPr>
      <w:r w:rsidRPr="00530737">
        <w:rPr>
          <w:rFonts w:eastAsia="Times New Roman"/>
          <w:b/>
          <w:bCs/>
          <w:kern w:val="18"/>
          <w:lang w:eastAsia="es-ES"/>
        </w:rPr>
        <w:t>E</w:t>
      </w:r>
      <w:r w:rsidRPr="00530737">
        <w:rPr>
          <w:rFonts w:eastAsia="Times New Roman"/>
          <w:bCs/>
          <w:kern w:val="18"/>
          <w:lang w:eastAsia="es-ES"/>
        </w:rPr>
        <w:t xml:space="preserve"> es el factor de ponderaci</w:t>
      </w:r>
      <w:r>
        <w:rPr>
          <w:rFonts w:eastAsia="Times New Roman"/>
          <w:bCs/>
          <w:kern w:val="18"/>
          <w:lang w:eastAsia="es-ES"/>
        </w:rPr>
        <w:t>ón aplicado a los elementos vulnerables (parcela catastral) de acuerdo a su clasificación según su uso.</w:t>
      </w:r>
    </w:p>
    <w:p w14:paraId="746BDC17" w14:textId="77777777" w:rsidR="00C37732" w:rsidRDefault="00C37732" w:rsidP="00C37732">
      <w:pPr>
        <w:contextualSpacing/>
        <w:jc w:val="both"/>
        <w:outlineLvl w:val="0"/>
        <w:rPr>
          <w:rFonts w:eastAsia="Times New Roman"/>
          <w:bCs/>
          <w:kern w:val="18"/>
          <w:lang w:eastAsia="es-ES"/>
        </w:rPr>
      </w:pPr>
      <w:r w:rsidRPr="00530737">
        <w:rPr>
          <w:rFonts w:eastAsia="Times New Roman"/>
          <w:b/>
          <w:bCs/>
          <w:kern w:val="18"/>
          <w:lang w:eastAsia="es-ES"/>
        </w:rPr>
        <w:t>A</w:t>
      </w:r>
      <w:r>
        <w:rPr>
          <w:rFonts w:eastAsia="Times New Roman"/>
          <w:bCs/>
          <w:kern w:val="18"/>
          <w:lang w:eastAsia="es-ES"/>
        </w:rPr>
        <w:t xml:space="preserve"> es la amenaza-exposición calculada en función de los peligros identificados y propiedades físicas (pendiente del terreno) que afectan a cada unidad de análisis (parcela catastral).</w:t>
      </w:r>
    </w:p>
    <w:p w14:paraId="68E74B86" w14:textId="77777777" w:rsidR="00C37732" w:rsidRDefault="00C37732" w:rsidP="00C37732">
      <w:pPr>
        <w:contextualSpacing/>
        <w:jc w:val="both"/>
        <w:outlineLvl w:val="0"/>
        <w:rPr>
          <w:rFonts w:eastAsia="Times New Roman"/>
          <w:bCs/>
          <w:kern w:val="18"/>
          <w:lang w:eastAsia="es-ES"/>
        </w:rPr>
      </w:pPr>
      <w:r w:rsidRPr="00530737">
        <w:rPr>
          <w:rFonts w:eastAsia="Times New Roman"/>
          <w:b/>
          <w:bCs/>
          <w:kern w:val="18"/>
          <w:lang w:eastAsia="es-ES"/>
        </w:rPr>
        <w:t>V</w:t>
      </w:r>
      <w:r>
        <w:rPr>
          <w:rFonts w:eastAsia="Times New Roman"/>
          <w:b/>
          <w:bCs/>
          <w:kern w:val="18"/>
          <w:lang w:eastAsia="es-ES"/>
        </w:rPr>
        <w:t xml:space="preserve"> </w:t>
      </w:r>
      <w:r>
        <w:rPr>
          <w:rFonts w:eastAsia="Times New Roman"/>
          <w:bCs/>
          <w:kern w:val="18"/>
          <w:lang w:eastAsia="es-ES"/>
        </w:rPr>
        <w:t>es un cómputo entre algunos factores socio-económicos simples de la unidad de análisis relacionados con su vulnerabilidad ante avenidas y/o avenidas.</w:t>
      </w:r>
    </w:p>
    <w:p w14:paraId="0C49468C" w14:textId="77777777" w:rsidR="00C37732" w:rsidRPr="00530737" w:rsidRDefault="00C37732" w:rsidP="00C37732">
      <w:pPr>
        <w:contextualSpacing/>
        <w:outlineLvl w:val="0"/>
        <w:rPr>
          <w:rFonts w:eastAsia="Times New Roman"/>
          <w:bCs/>
          <w:kern w:val="18"/>
          <w:lang w:eastAsia="es-ES"/>
        </w:rPr>
      </w:pPr>
    </w:p>
    <w:p w14:paraId="72242DCA" w14:textId="77777777" w:rsidR="00C37732" w:rsidRPr="003E0B07" w:rsidRDefault="00C37732" w:rsidP="00C37732">
      <w:pPr>
        <w:contextualSpacing/>
        <w:jc w:val="both"/>
        <w:outlineLvl w:val="0"/>
        <w:rPr>
          <w:rFonts w:eastAsia="Times New Roman"/>
          <w:bCs/>
          <w:kern w:val="18"/>
          <w:lang w:eastAsia="es-ES"/>
        </w:rPr>
      </w:pPr>
      <w:r>
        <w:rPr>
          <w:rFonts w:eastAsia="Times New Roman"/>
          <w:b/>
          <w:bCs/>
          <w:kern w:val="18"/>
          <w:lang w:eastAsia="es-ES"/>
        </w:rPr>
        <w:t xml:space="preserve">3.4 Clasificación y ponderación de los elementos vulnerables (E) </w:t>
      </w:r>
    </w:p>
    <w:p w14:paraId="70FDA2C7" w14:textId="77777777" w:rsidR="00C37732" w:rsidRPr="003E0B07" w:rsidRDefault="00C37732" w:rsidP="00F82537">
      <w:pPr>
        <w:ind w:firstLine="426"/>
        <w:contextualSpacing/>
        <w:jc w:val="both"/>
        <w:rPr>
          <w:rFonts w:eastAsia="Times New Roman"/>
          <w:bCs/>
          <w:kern w:val="18"/>
          <w:lang w:eastAsia="es-ES"/>
        </w:rPr>
      </w:pPr>
      <w:r w:rsidRPr="003E0B07">
        <w:rPr>
          <w:rFonts w:eastAsia="Times New Roman"/>
          <w:bCs/>
          <w:kern w:val="18"/>
          <w:lang w:eastAsia="es-ES"/>
        </w:rPr>
        <w:t>Los elementos vulnerables (E) se clasifican de acuerdo a sus características frente a la amenaza</w:t>
      </w:r>
      <w:r>
        <w:rPr>
          <w:rFonts w:eastAsia="Times New Roman"/>
          <w:bCs/>
          <w:kern w:val="18"/>
          <w:lang w:eastAsia="es-ES"/>
        </w:rPr>
        <w:t>-exposición (A)</w:t>
      </w:r>
      <w:r w:rsidRPr="003E0B07">
        <w:rPr>
          <w:rFonts w:eastAsia="Times New Roman"/>
          <w:bCs/>
          <w:kern w:val="18"/>
          <w:lang w:eastAsia="es-ES"/>
        </w:rPr>
        <w:t xml:space="preserve">, lo </w:t>
      </w:r>
      <w:r>
        <w:rPr>
          <w:rFonts w:eastAsia="Times New Roman"/>
          <w:bCs/>
          <w:kern w:val="18"/>
          <w:lang w:eastAsia="es-ES"/>
        </w:rPr>
        <w:t xml:space="preserve">que </w:t>
      </w:r>
      <w:r w:rsidRPr="003E0B07">
        <w:rPr>
          <w:rFonts w:eastAsia="Times New Roman"/>
          <w:bCs/>
          <w:kern w:val="18"/>
          <w:lang w:eastAsia="es-ES"/>
        </w:rPr>
        <w:t xml:space="preserve">se incorpora como un factor de sensibilidad. Este funciona como un valor de ponderación y también como propiedad a partir de la cual </w:t>
      </w:r>
      <w:r>
        <w:rPr>
          <w:rFonts w:eastAsia="Times New Roman"/>
          <w:bCs/>
          <w:kern w:val="18"/>
          <w:lang w:eastAsia="es-ES"/>
        </w:rPr>
        <w:t xml:space="preserve">la </w:t>
      </w:r>
      <w:r w:rsidRPr="003E0B07">
        <w:rPr>
          <w:rFonts w:eastAsia="Times New Roman"/>
          <w:bCs/>
          <w:kern w:val="18"/>
          <w:lang w:eastAsia="es-ES"/>
        </w:rPr>
        <w:t>amenaza</w:t>
      </w:r>
      <w:r>
        <w:rPr>
          <w:rFonts w:eastAsia="Times New Roman"/>
          <w:bCs/>
          <w:kern w:val="18"/>
          <w:lang w:eastAsia="es-ES"/>
        </w:rPr>
        <w:t xml:space="preserve">-exposición (A) y </w:t>
      </w:r>
      <w:r w:rsidRPr="003E0B07">
        <w:rPr>
          <w:rFonts w:eastAsia="Times New Roman"/>
          <w:bCs/>
          <w:kern w:val="18"/>
          <w:lang w:eastAsia="es-ES"/>
        </w:rPr>
        <w:t>la vulnerabilidad</w:t>
      </w:r>
      <w:r>
        <w:rPr>
          <w:rFonts w:eastAsia="Times New Roman"/>
          <w:bCs/>
          <w:kern w:val="18"/>
          <w:lang w:eastAsia="es-ES"/>
        </w:rPr>
        <w:t xml:space="preserve"> (V) </w:t>
      </w:r>
      <w:r w:rsidRPr="003E0B07">
        <w:rPr>
          <w:rFonts w:eastAsia="Times New Roman"/>
          <w:bCs/>
          <w:kern w:val="18"/>
          <w:lang w:eastAsia="es-ES"/>
        </w:rPr>
        <w:t>integran unos u otros indicadores</w:t>
      </w:r>
      <w:r>
        <w:rPr>
          <w:rFonts w:eastAsia="Times New Roman"/>
          <w:bCs/>
          <w:kern w:val="18"/>
          <w:lang w:eastAsia="es-ES"/>
        </w:rPr>
        <w:t>.</w:t>
      </w:r>
    </w:p>
    <w:p w14:paraId="4D5AAAFF" w14:textId="77777777" w:rsidR="00C37732" w:rsidRPr="00803AD4" w:rsidRDefault="00C37732" w:rsidP="00F82537">
      <w:pPr>
        <w:ind w:firstLine="426"/>
        <w:contextualSpacing/>
        <w:jc w:val="both"/>
        <w:rPr>
          <w:rFonts w:eastAsia="Times New Roman"/>
          <w:bCs/>
          <w:kern w:val="18"/>
          <w:lang w:eastAsia="es-ES"/>
        </w:rPr>
      </w:pPr>
      <w:r w:rsidRPr="00803AD4">
        <w:rPr>
          <w:rFonts w:eastAsia="Times New Roman"/>
          <w:bCs/>
          <w:kern w:val="18"/>
          <w:lang w:eastAsia="es-ES"/>
        </w:rPr>
        <w:t xml:space="preserve">Para posibilitar la ponderación de los elementos </w:t>
      </w:r>
      <w:r w:rsidRPr="00D13470">
        <w:rPr>
          <w:rFonts w:eastAsia="Times New Roman"/>
          <w:bCs/>
          <w:kern w:val="18"/>
          <w:lang w:eastAsia="es-ES"/>
        </w:rPr>
        <w:t>vulnerables (E), con</w:t>
      </w:r>
      <w:r w:rsidRPr="00803AD4">
        <w:rPr>
          <w:rFonts w:eastAsia="Times New Roman"/>
          <w:bCs/>
          <w:kern w:val="18"/>
          <w:lang w:eastAsia="es-ES"/>
        </w:rPr>
        <w:t xml:space="preserve"> respecto al contexto donde se acomete el proceso de evaluación, se procede a su agrupamiento según aconseja la metodología de UNDRO (1991). De acuerdo a sus rasgos, la sistematización que aquí se propone </w:t>
      </w:r>
      <w:r w:rsidRPr="00803AD4">
        <w:rPr>
          <w:rFonts w:eastAsia="Times New Roman"/>
          <w:bCs/>
          <w:kern w:val="18"/>
          <w:lang w:eastAsia="es-ES"/>
        </w:rPr>
        <w:lastRenderedPageBreak/>
        <w:t>parte de una simplificación de la dinámica socio-económica principal en cada parcela. De este modo</w:t>
      </w:r>
      <w:r w:rsidRPr="00AF4FC6">
        <w:rPr>
          <w:rFonts w:eastAsia="Times New Roman"/>
          <w:bCs/>
          <w:kern w:val="18"/>
          <w:lang w:eastAsia="es-ES"/>
        </w:rPr>
        <w:t>,</w:t>
      </w:r>
      <w:r w:rsidRPr="00803AD4">
        <w:rPr>
          <w:rFonts w:eastAsia="Times New Roman"/>
          <w:bCs/>
          <w:kern w:val="18"/>
          <w:lang w:eastAsia="es-ES"/>
        </w:rPr>
        <w:t xml:space="preserve"> se </w:t>
      </w:r>
      <w:r w:rsidRPr="00AF4FC6">
        <w:rPr>
          <w:rFonts w:eastAsia="Times New Roman"/>
          <w:bCs/>
          <w:kern w:val="18"/>
          <w:lang w:eastAsia="es-ES"/>
        </w:rPr>
        <w:t>establece</w:t>
      </w:r>
      <w:r w:rsidRPr="00803AD4">
        <w:rPr>
          <w:rFonts w:eastAsia="Times New Roman"/>
          <w:bCs/>
          <w:kern w:val="18"/>
          <w:lang w:eastAsia="es-ES"/>
        </w:rPr>
        <w:t xml:space="preserve"> un factor de ponderación de los usos de suelo entre 0 y 1</w:t>
      </w:r>
      <w:r w:rsidRPr="00AF4FC6">
        <w:rPr>
          <w:rFonts w:eastAsia="Times New Roman"/>
          <w:bCs/>
          <w:kern w:val="18"/>
          <w:lang w:eastAsia="es-ES"/>
        </w:rPr>
        <w:t>,</w:t>
      </w:r>
      <w:r w:rsidRPr="00803AD4">
        <w:rPr>
          <w:rFonts w:eastAsia="Times New Roman"/>
          <w:bCs/>
          <w:kern w:val="18"/>
          <w:lang w:eastAsia="es-ES"/>
        </w:rPr>
        <w:t xml:space="preserve"> definido por cómo un episodio </w:t>
      </w:r>
      <w:r w:rsidRPr="00AF4FC6">
        <w:rPr>
          <w:rFonts w:eastAsia="Times New Roman"/>
          <w:bCs/>
          <w:kern w:val="18"/>
          <w:lang w:eastAsia="es-ES"/>
        </w:rPr>
        <w:t>específico</w:t>
      </w:r>
      <w:r>
        <w:rPr>
          <w:rFonts w:eastAsia="Times New Roman"/>
          <w:bCs/>
          <w:kern w:val="18"/>
          <w:lang w:eastAsia="es-ES"/>
        </w:rPr>
        <w:t xml:space="preserve"> </w:t>
      </w:r>
      <w:r w:rsidRPr="00803AD4">
        <w:rPr>
          <w:rFonts w:eastAsia="Times New Roman"/>
          <w:bCs/>
          <w:kern w:val="18"/>
          <w:lang w:eastAsia="es-ES"/>
        </w:rPr>
        <w:t xml:space="preserve">de inundación puede afectar a los diferentes espacios. Esto </w:t>
      </w:r>
      <w:r w:rsidRPr="00AF4FC6">
        <w:rPr>
          <w:rFonts w:eastAsia="Times New Roman"/>
          <w:bCs/>
          <w:kern w:val="18"/>
          <w:lang w:eastAsia="es-ES"/>
        </w:rPr>
        <w:t>hace</w:t>
      </w:r>
      <w:r w:rsidRPr="00803AD4">
        <w:rPr>
          <w:rFonts w:eastAsia="Times New Roman"/>
          <w:bCs/>
          <w:kern w:val="18"/>
          <w:lang w:eastAsia="es-ES"/>
        </w:rPr>
        <w:t xml:space="preserve"> que usos </w:t>
      </w:r>
      <w:r w:rsidRPr="001F5A5B">
        <w:rPr>
          <w:rFonts w:eastAsia="Times New Roman"/>
          <w:bCs/>
          <w:kern w:val="18"/>
          <w:lang w:eastAsia="es-ES"/>
        </w:rPr>
        <w:t>vinculados, por ejemplo, a</w:t>
      </w:r>
      <w:r>
        <w:rPr>
          <w:rFonts w:eastAsia="Times New Roman"/>
          <w:bCs/>
          <w:kern w:val="18"/>
          <w:lang w:eastAsia="es-ES"/>
        </w:rPr>
        <w:t xml:space="preserve"> </w:t>
      </w:r>
      <w:r w:rsidRPr="00803AD4">
        <w:rPr>
          <w:rFonts w:eastAsia="Times New Roman"/>
          <w:bCs/>
          <w:kern w:val="18"/>
          <w:lang w:eastAsia="es-ES"/>
        </w:rPr>
        <w:t>las edificaciones turísticas y residenciales</w:t>
      </w:r>
      <w:r>
        <w:rPr>
          <w:rFonts w:eastAsia="Times New Roman"/>
          <w:bCs/>
          <w:kern w:val="18"/>
          <w:lang w:eastAsia="es-ES"/>
        </w:rPr>
        <w:t xml:space="preserve"> </w:t>
      </w:r>
      <w:r w:rsidRPr="00803AD4">
        <w:rPr>
          <w:rFonts w:eastAsia="Times New Roman"/>
          <w:bCs/>
          <w:kern w:val="18"/>
          <w:lang w:eastAsia="es-ES"/>
        </w:rPr>
        <w:t>presenten un valor de ponderación de 0,75 y 0,5</w:t>
      </w:r>
      <w:r w:rsidRPr="001F5A5B">
        <w:rPr>
          <w:rFonts w:eastAsia="Times New Roman"/>
          <w:bCs/>
          <w:kern w:val="18"/>
          <w:lang w:eastAsia="es-ES"/>
        </w:rPr>
        <w:t>, respectivamente,</w:t>
      </w:r>
      <w:r w:rsidRPr="00803AD4">
        <w:rPr>
          <w:rFonts w:eastAsia="Times New Roman"/>
          <w:bCs/>
          <w:kern w:val="18"/>
          <w:lang w:eastAsia="es-ES"/>
        </w:rPr>
        <w:t xml:space="preserve"> mayor al de </w:t>
      </w:r>
      <w:r w:rsidRPr="001F5A5B">
        <w:rPr>
          <w:rFonts w:eastAsia="Times New Roman"/>
          <w:bCs/>
          <w:kern w:val="18"/>
          <w:lang w:eastAsia="es-ES"/>
        </w:rPr>
        <w:t>usos como</w:t>
      </w:r>
      <w:r w:rsidRPr="00803AD4">
        <w:rPr>
          <w:rFonts w:eastAsia="Times New Roman"/>
          <w:bCs/>
          <w:kern w:val="18"/>
          <w:lang w:eastAsia="es-ES"/>
        </w:rPr>
        <w:t xml:space="preserve"> playas (0,25) o aparcamientos (0,25), donde los daños y efectos tanto económicos como sociales van a </w:t>
      </w:r>
      <w:r w:rsidRPr="001F5A5B">
        <w:rPr>
          <w:rFonts w:eastAsia="Times New Roman"/>
          <w:bCs/>
          <w:kern w:val="18"/>
          <w:lang w:eastAsia="es-ES"/>
        </w:rPr>
        <w:t xml:space="preserve">ser </w:t>
      </w:r>
      <w:r w:rsidRPr="001F5A5B">
        <w:rPr>
          <w:rFonts w:eastAsia="Times New Roman"/>
          <w:bCs/>
          <w:i/>
          <w:kern w:val="18"/>
          <w:lang w:eastAsia="es-ES"/>
        </w:rPr>
        <w:t>a priori</w:t>
      </w:r>
      <w:r w:rsidRPr="00803AD4">
        <w:rPr>
          <w:rFonts w:eastAsia="Times New Roman"/>
          <w:bCs/>
          <w:kern w:val="18"/>
          <w:lang w:eastAsia="es-ES"/>
        </w:rPr>
        <w:t xml:space="preserve"> menores.</w:t>
      </w:r>
    </w:p>
    <w:p w14:paraId="2A5ED879" w14:textId="77777777" w:rsidR="00C37732" w:rsidRDefault="00C37732" w:rsidP="00F82537">
      <w:pPr>
        <w:ind w:firstLine="426"/>
        <w:contextualSpacing/>
        <w:jc w:val="both"/>
        <w:rPr>
          <w:rFonts w:eastAsia="Times New Roman"/>
          <w:bCs/>
          <w:kern w:val="18"/>
          <w:lang w:eastAsia="es-ES"/>
        </w:rPr>
      </w:pPr>
      <w:r>
        <w:rPr>
          <w:rFonts w:eastAsia="Times New Roman"/>
          <w:bCs/>
          <w:kern w:val="18"/>
          <w:lang w:eastAsia="es-ES"/>
        </w:rPr>
        <w:t>En este sentido, aunque l</w:t>
      </w:r>
      <w:r w:rsidRPr="004E0C67">
        <w:rPr>
          <w:rFonts w:eastAsia="Times New Roman"/>
          <w:bCs/>
          <w:kern w:val="18"/>
          <w:lang w:eastAsia="es-ES"/>
        </w:rPr>
        <w:t>os usos de suelo s</w:t>
      </w:r>
      <w:r>
        <w:rPr>
          <w:rFonts w:eastAsia="Times New Roman"/>
          <w:bCs/>
          <w:kern w:val="18"/>
          <w:lang w:eastAsia="es-ES"/>
        </w:rPr>
        <w:t xml:space="preserve">on un factor determinante, </w:t>
      </w:r>
      <w:r w:rsidRPr="001F5A5B">
        <w:rPr>
          <w:rFonts w:eastAsia="Times New Roman"/>
          <w:bCs/>
          <w:kern w:val="18"/>
          <w:lang w:eastAsia="es-ES"/>
        </w:rPr>
        <w:t>es posible que</w:t>
      </w:r>
      <w:r>
        <w:rPr>
          <w:rFonts w:eastAsia="Times New Roman"/>
          <w:bCs/>
          <w:kern w:val="18"/>
          <w:lang w:eastAsia="es-ES"/>
        </w:rPr>
        <w:t xml:space="preserve"> </w:t>
      </w:r>
      <w:r w:rsidRPr="004E0C67">
        <w:rPr>
          <w:rFonts w:eastAsia="Times New Roman"/>
          <w:bCs/>
          <w:kern w:val="18"/>
          <w:lang w:eastAsia="es-ES"/>
        </w:rPr>
        <w:t xml:space="preserve">la existencia de ciertas actividades </w:t>
      </w:r>
      <w:r w:rsidRPr="001F5A5B">
        <w:rPr>
          <w:rFonts w:eastAsia="Times New Roman"/>
          <w:bCs/>
          <w:kern w:val="18"/>
          <w:lang w:eastAsia="es-ES"/>
        </w:rPr>
        <w:t>influya</w:t>
      </w:r>
      <w:r>
        <w:rPr>
          <w:rFonts w:eastAsia="Times New Roman"/>
          <w:bCs/>
          <w:kern w:val="18"/>
          <w:lang w:eastAsia="es-ES"/>
        </w:rPr>
        <w:t xml:space="preserve"> </w:t>
      </w:r>
      <w:r w:rsidRPr="004E0C67">
        <w:rPr>
          <w:rFonts w:eastAsia="Times New Roman"/>
          <w:bCs/>
          <w:kern w:val="18"/>
          <w:lang w:eastAsia="es-ES"/>
        </w:rPr>
        <w:t xml:space="preserve">también en la categorización </w:t>
      </w:r>
      <w:r>
        <w:rPr>
          <w:rFonts w:eastAsia="Times New Roman"/>
          <w:bCs/>
          <w:kern w:val="18"/>
          <w:lang w:eastAsia="es-ES"/>
        </w:rPr>
        <w:t>que se establece</w:t>
      </w:r>
      <w:r w:rsidRPr="004E0C67">
        <w:rPr>
          <w:rFonts w:eastAsia="Times New Roman"/>
          <w:bCs/>
          <w:kern w:val="18"/>
          <w:lang w:eastAsia="es-ES"/>
        </w:rPr>
        <w:t xml:space="preserve">. Así, por ejemplo, la presencia de un centro hospitalario en una parcela con edificación residencial puede hacer que se catalogue en función de </w:t>
      </w:r>
      <w:r>
        <w:rPr>
          <w:rFonts w:eastAsia="Times New Roman"/>
          <w:bCs/>
          <w:kern w:val="18"/>
          <w:lang w:eastAsia="es-ES"/>
        </w:rPr>
        <w:t xml:space="preserve">dicho centro, </w:t>
      </w:r>
      <w:r w:rsidRPr="004E0C67">
        <w:rPr>
          <w:rFonts w:eastAsia="Times New Roman"/>
          <w:bCs/>
          <w:kern w:val="18"/>
          <w:lang w:eastAsia="es-ES"/>
        </w:rPr>
        <w:t xml:space="preserve">al ser el </w:t>
      </w:r>
      <w:r>
        <w:rPr>
          <w:rFonts w:eastAsia="Times New Roman"/>
          <w:bCs/>
          <w:kern w:val="18"/>
          <w:lang w:eastAsia="es-ES"/>
        </w:rPr>
        <w:t>agente</w:t>
      </w:r>
      <w:r w:rsidRPr="004E0C67">
        <w:rPr>
          <w:rFonts w:eastAsia="Times New Roman"/>
          <w:bCs/>
          <w:kern w:val="18"/>
          <w:lang w:eastAsia="es-ES"/>
        </w:rPr>
        <w:t xml:space="preserve"> esencial de la actividad que </w:t>
      </w:r>
      <w:r>
        <w:rPr>
          <w:rFonts w:eastAsia="Times New Roman"/>
          <w:bCs/>
          <w:kern w:val="18"/>
          <w:lang w:eastAsia="es-ES"/>
        </w:rPr>
        <w:t xml:space="preserve">en ella tiene lugar. Los valores de ponderación </w:t>
      </w:r>
      <w:r w:rsidRPr="001F5A5B">
        <w:rPr>
          <w:rFonts w:eastAsia="Times New Roman"/>
          <w:bCs/>
          <w:kern w:val="18"/>
          <w:lang w:eastAsia="es-ES"/>
        </w:rPr>
        <w:t>establecidos</w:t>
      </w:r>
      <w:r>
        <w:rPr>
          <w:rFonts w:eastAsia="Times New Roman"/>
          <w:bCs/>
          <w:kern w:val="18"/>
          <w:lang w:eastAsia="es-ES"/>
        </w:rPr>
        <w:t xml:space="preserve"> se muestran en la tabla 2.</w:t>
      </w:r>
    </w:p>
    <w:p w14:paraId="13A359A6" w14:textId="77777777" w:rsidR="00C37732" w:rsidRPr="003E0B07" w:rsidRDefault="00C37732" w:rsidP="00C37732">
      <w:pPr>
        <w:ind w:firstLine="708"/>
        <w:contextualSpacing/>
        <w:jc w:val="both"/>
        <w:rPr>
          <w:rFonts w:eastAsia="Times New Roman"/>
          <w:bCs/>
          <w:kern w:val="18"/>
          <w:lang w:eastAsia="es-ES"/>
        </w:rPr>
      </w:pPr>
    </w:p>
    <w:p w14:paraId="7CB2F7EA" w14:textId="77777777" w:rsidR="00C37732" w:rsidRDefault="00C37732" w:rsidP="00C37732">
      <w:pPr>
        <w:contextualSpacing/>
        <w:jc w:val="both"/>
        <w:outlineLvl w:val="0"/>
        <w:rPr>
          <w:rFonts w:eastAsia="Times New Roman"/>
          <w:b/>
          <w:bCs/>
          <w:kern w:val="18"/>
          <w:lang w:eastAsia="es-ES"/>
        </w:rPr>
      </w:pPr>
      <w:r>
        <w:rPr>
          <w:rFonts w:eastAsia="Times New Roman"/>
          <w:b/>
          <w:bCs/>
          <w:kern w:val="18"/>
          <w:lang w:eastAsia="es-ES"/>
        </w:rPr>
        <w:t>3.5 Identificación de la amenaza-exposición (A)</w:t>
      </w:r>
    </w:p>
    <w:p w14:paraId="78DDB833" w14:textId="77777777" w:rsidR="00C37732" w:rsidRDefault="00C37732" w:rsidP="00F82537">
      <w:pPr>
        <w:ind w:firstLine="426"/>
        <w:contextualSpacing/>
        <w:jc w:val="both"/>
        <w:rPr>
          <w:rFonts w:eastAsia="Times New Roman"/>
          <w:bCs/>
          <w:kern w:val="18"/>
          <w:lang w:eastAsia="es-ES"/>
        </w:rPr>
      </w:pPr>
      <w:r w:rsidRPr="004E22D0">
        <w:rPr>
          <w:rFonts w:eastAsia="Times New Roman"/>
          <w:bCs/>
          <w:kern w:val="18"/>
          <w:lang w:eastAsia="es-ES"/>
        </w:rPr>
        <w:t>Las fuentes citadas posibilitan la localización de las áreas y puntos que, según diversos estudios sobre el desarrollo de distintos planes preventivos y de gestión (SNCZI, 2014; PDA, 2015), se encuentran en riesgo de sufrir inundaciones y avenidas. Riesgo en función bien de la existencia de daños ocurridos en eventos de avenida y/o inundación registrados, o bien por la realización de modelos hidráulicos, que señalan zonas potencialmente inundables para periodos de retorno de 100 y 500 años</w:t>
      </w:r>
      <w:r>
        <w:rPr>
          <w:rFonts w:eastAsia="Times New Roman"/>
          <w:bCs/>
          <w:kern w:val="18"/>
          <w:lang w:eastAsia="es-ES"/>
        </w:rPr>
        <w:t xml:space="preserve"> (SNCZI</w:t>
      </w:r>
      <w:r w:rsidRPr="004E22D0">
        <w:rPr>
          <w:rFonts w:eastAsia="Times New Roman"/>
          <w:bCs/>
          <w:kern w:val="18"/>
          <w:lang w:eastAsia="es-ES"/>
        </w:rPr>
        <w:t>).</w:t>
      </w:r>
    </w:p>
    <w:p w14:paraId="6CF087D1" w14:textId="53614E6E" w:rsidR="00C37732" w:rsidRPr="008461DC" w:rsidRDefault="00C37732" w:rsidP="00F82537">
      <w:pPr>
        <w:ind w:firstLine="426"/>
        <w:contextualSpacing/>
        <w:jc w:val="both"/>
        <w:rPr>
          <w:rFonts w:eastAsia="Times New Roman"/>
          <w:bCs/>
          <w:kern w:val="18"/>
          <w:lang w:eastAsia="es-ES"/>
        </w:rPr>
      </w:pPr>
      <w:r w:rsidRPr="004E22D0">
        <w:rPr>
          <w:rFonts w:eastAsia="Times New Roman"/>
          <w:bCs/>
          <w:kern w:val="18"/>
          <w:lang w:eastAsia="es-ES"/>
        </w:rPr>
        <w:t>La identificación de los episodios extremos se lleva a cabo mediante el análisis de las series temporales de precipitación diaria, procedentes de las estaciones meteorológicas seleccionadas empleando el P</w:t>
      </w:r>
      <w:r w:rsidRPr="004E22D0">
        <w:rPr>
          <w:rFonts w:eastAsia="Times New Roman"/>
          <w:bCs/>
          <w:kern w:val="18"/>
          <w:vertAlign w:val="subscript"/>
          <w:lang w:eastAsia="es-ES"/>
        </w:rPr>
        <w:t>99</w:t>
      </w:r>
      <w:r w:rsidRPr="00803AD4">
        <w:rPr>
          <w:rFonts w:eastAsia="Times New Roman"/>
          <w:bCs/>
          <w:kern w:val="18"/>
          <w:lang w:eastAsia="es-ES"/>
        </w:rPr>
        <w:t>.</w:t>
      </w:r>
      <w:r>
        <w:rPr>
          <w:rFonts w:eastAsia="Times New Roman"/>
          <w:bCs/>
          <w:kern w:val="18"/>
          <w:lang w:eastAsia="es-ES"/>
        </w:rPr>
        <w:t xml:space="preserve"> Tras su </w:t>
      </w:r>
      <w:r w:rsidRPr="003A5762">
        <w:rPr>
          <w:rFonts w:eastAsia="Times New Roman"/>
          <w:bCs/>
          <w:kern w:val="18"/>
          <w:lang w:eastAsia="es-ES"/>
        </w:rPr>
        <w:t>i</w:t>
      </w:r>
      <w:r>
        <w:rPr>
          <w:rFonts w:eastAsia="Times New Roman"/>
          <w:bCs/>
          <w:kern w:val="18"/>
          <w:lang w:eastAsia="es-ES"/>
        </w:rPr>
        <w:t>ndividualización</w:t>
      </w:r>
      <w:r w:rsidRPr="003A5762">
        <w:rPr>
          <w:rFonts w:eastAsia="Times New Roman"/>
          <w:bCs/>
          <w:kern w:val="18"/>
          <w:lang w:eastAsia="es-ES"/>
        </w:rPr>
        <w:t xml:space="preserve"> se determinan las consecuencias que han podido causar las </w:t>
      </w:r>
      <w:r w:rsidRPr="004E22D0">
        <w:rPr>
          <w:rFonts w:eastAsia="Times New Roman"/>
          <w:bCs/>
          <w:kern w:val="18"/>
          <w:lang w:eastAsia="es-ES"/>
        </w:rPr>
        <w:t>lluvias, al tiempo que se</w:t>
      </w:r>
      <w:r w:rsidRPr="003A5762">
        <w:rPr>
          <w:rFonts w:eastAsia="Times New Roman"/>
          <w:bCs/>
          <w:kern w:val="18"/>
          <w:lang w:eastAsia="es-ES"/>
        </w:rPr>
        <w:t xml:space="preserve"> relacionan con </w:t>
      </w:r>
      <w:r>
        <w:rPr>
          <w:rFonts w:eastAsia="Times New Roman"/>
          <w:bCs/>
          <w:kern w:val="18"/>
          <w:lang w:eastAsia="es-ES"/>
        </w:rPr>
        <w:t>trabajos</w:t>
      </w:r>
      <w:r w:rsidRPr="003A5762">
        <w:rPr>
          <w:rFonts w:eastAsia="Times New Roman"/>
          <w:bCs/>
          <w:kern w:val="18"/>
          <w:lang w:eastAsia="es-ES"/>
        </w:rPr>
        <w:t xml:space="preserve"> de riesgo </w:t>
      </w:r>
      <w:r>
        <w:rPr>
          <w:rFonts w:eastAsia="Times New Roman"/>
          <w:bCs/>
          <w:kern w:val="18"/>
          <w:lang w:eastAsia="es-ES"/>
        </w:rPr>
        <w:t xml:space="preserve">que, </w:t>
      </w:r>
      <w:r w:rsidRPr="004E22D0">
        <w:rPr>
          <w:rFonts w:eastAsia="Times New Roman"/>
          <w:bCs/>
          <w:kern w:val="18"/>
          <w:lang w:eastAsia="es-ES"/>
        </w:rPr>
        <w:t>en un primer momento</w:t>
      </w:r>
      <w:r>
        <w:rPr>
          <w:rFonts w:eastAsia="Times New Roman"/>
          <w:bCs/>
          <w:kern w:val="18"/>
          <w:lang w:eastAsia="es-ES"/>
        </w:rPr>
        <w:t xml:space="preserve">, se </w:t>
      </w:r>
      <w:r w:rsidRPr="004E22D0">
        <w:rPr>
          <w:rFonts w:eastAsia="Times New Roman"/>
          <w:bCs/>
          <w:kern w:val="18"/>
          <w:lang w:eastAsia="es-ES"/>
        </w:rPr>
        <w:t>han</w:t>
      </w:r>
      <w:r>
        <w:rPr>
          <w:rFonts w:eastAsia="Times New Roman"/>
          <w:bCs/>
          <w:kern w:val="18"/>
          <w:lang w:eastAsia="es-ES"/>
        </w:rPr>
        <w:t xml:space="preserve"> </w:t>
      </w:r>
      <w:r w:rsidRPr="003A5762">
        <w:rPr>
          <w:rFonts w:eastAsia="Times New Roman"/>
          <w:bCs/>
          <w:kern w:val="18"/>
          <w:lang w:eastAsia="es-ES"/>
        </w:rPr>
        <w:t>desarrollado</w:t>
      </w:r>
      <w:r>
        <w:rPr>
          <w:rFonts w:eastAsia="Times New Roman"/>
          <w:bCs/>
          <w:kern w:val="18"/>
          <w:lang w:eastAsia="es-ES"/>
        </w:rPr>
        <w:t xml:space="preserve"> </w:t>
      </w:r>
      <w:r w:rsidRPr="003A5762">
        <w:rPr>
          <w:rFonts w:eastAsia="Times New Roman"/>
          <w:bCs/>
          <w:kern w:val="18"/>
          <w:lang w:eastAsia="es-ES"/>
        </w:rPr>
        <w:t xml:space="preserve">en </w:t>
      </w:r>
      <w:r>
        <w:rPr>
          <w:rFonts w:eastAsia="Times New Roman"/>
          <w:bCs/>
          <w:kern w:val="18"/>
          <w:lang w:eastAsia="es-ES"/>
        </w:rPr>
        <w:t>el área de estudio (</w:t>
      </w:r>
      <w:r w:rsidR="00A151A8" w:rsidRPr="00A151A8">
        <w:rPr>
          <w:rFonts w:eastAsia="Times New Roman"/>
          <w:bCs/>
          <w:kern w:val="18"/>
          <w:highlight w:val="yellow"/>
          <w:lang w:eastAsia="es-ES"/>
        </w:rPr>
        <w:t>CITA AUTOR 2</w:t>
      </w:r>
      <w:r>
        <w:rPr>
          <w:rFonts w:eastAsia="Times New Roman"/>
          <w:bCs/>
          <w:kern w:val="18"/>
          <w:lang w:eastAsia="es-ES"/>
        </w:rPr>
        <w:t>)</w:t>
      </w:r>
      <w:r w:rsidRPr="003A5762">
        <w:rPr>
          <w:rFonts w:eastAsia="Times New Roman"/>
          <w:bCs/>
          <w:kern w:val="18"/>
          <w:lang w:eastAsia="es-ES"/>
        </w:rPr>
        <w:t xml:space="preserve">. </w:t>
      </w:r>
      <w:r w:rsidRPr="008461DC">
        <w:rPr>
          <w:rFonts w:eastAsia="Times New Roman"/>
          <w:bCs/>
          <w:kern w:val="18"/>
          <w:lang w:eastAsia="es-ES"/>
        </w:rPr>
        <w:t xml:space="preserve">En tal sentido, se tienen en cuenta procesos de </w:t>
      </w:r>
      <w:r w:rsidRPr="004E22D0">
        <w:rPr>
          <w:rFonts w:eastAsia="Times New Roman"/>
          <w:bCs/>
          <w:kern w:val="18"/>
          <w:lang w:eastAsia="es-ES"/>
        </w:rPr>
        <w:t>encharcamiento de áreas específicas, inundación temporal de calles, inundación de edificios de uso residencial, turístico o comercial, colapso puntual y localizado del sistema urbano de evacuación de aguas, afecciones a playas o zonas de baño, etc.</w:t>
      </w:r>
    </w:p>
    <w:p w14:paraId="6297508A" w14:textId="77777777" w:rsidR="00C37732" w:rsidRDefault="00C37732" w:rsidP="00AE1ADB">
      <w:pPr>
        <w:ind w:firstLine="426"/>
        <w:contextualSpacing/>
        <w:jc w:val="both"/>
        <w:rPr>
          <w:rFonts w:eastAsia="Times New Roman"/>
          <w:bCs/>
          <w:kern w:val="18"/>
          <w:lang w:eastAsia="es-ES"/>
        </w:rPr>
      </w:pPr>
      <w:r>
        <w:rPr>
          <w:rFonts w:eastAsia="Times New Roman"/>
          <w:bCs/>
          <w:kern w:val="18"/>
          <w:lang w:eastAsia="es-ES"/>
        </w:rPr>
        <w:t xml:space="preserve">Una vez </w:t>
      </w:r>
      <w:r w:rsidRPr="004E22D0">
        <w:rPr>
          <w:rFonts w:eastAsia="Times New Roman"/>
          <w:bCs/>
          <w:kern w:val="18"/>
          <w:lang w:eastAsia="es-ES"/>
        </w:rPr>
        <w:t>reconocida y</w:t>
      </w:r>
      <w:r>
        <w:rPr>
          <w:rFonts w:eastAsia="Times New Roman"/>
          <w:bCs/>
          <w:kern w:val="18"/>
          <w:lang w:eastAsia="es-ES"/>
        </w:rPr>
        <w:t xml:space="preserve"> localizada la amenaza se realiza la valoración de la exposición,</w:t>
      </w:r>
      <w:r w:rsidRPr="006F06E0">
        <w:rPr>
          <w:rFonts w:eastAsia="Times New Roman"/>
          <w:bCs/>
          <w:kern w:val="18"/>
          <w:lang w:eastAsia="es-ES"/>
        </w:rPr>
        <w:t xml:space="preserve"> </w:t>
      </w:r>
      <w:r>
        <w:rPr>
          <w:rFonts w:eastAsia="Times New Roman"/>
          <w:bCs/>
          <w:kern w:val="18"/>
          <w:lang w:eastAsia="es-ES"/>
        </w:rPr>
        <w:t xml:space="preserve">la cual se aplica a los elementos vulnerables (en riesgo). Cada evidencia de amenaza se contabiliza con el valor de 1, añadiéndose una unidad cada vez que existe coincidencia espacial. De esta manera, si una parcela se encuentra afectada por un área de peligro señalada por el PDA y también por un área de riesgo potencialmente significativa, adquiere una valoración de 2 unidades. </w:t>
      </w:r>
      <w:r w:rsidRPr="004E22D0">
        <w:rPr>
          <w:rFonts w:eastAsia="Times New Roman"/>
          <w:bCs/>
          <w:kern w:val="18"/>
          <w:lang w:eastAsia="es-ES"/>
        </w:rPr>
        <w:t>Se tiene en cuenta,</w:t>
      </w:r>
      <w:r>
        <w:rPr>
          <w:rFonts w:eastAsia="Times New Roman"/>
          <w:bCs/>
          <w:kern w:val="18"/>
          <w:lang w:eastAsia="es-ES"/>
        </w:rPr>
        <w:t xml:space="preserve"> además, otro factor inherente a las propiedades del terreno donde se extiende la unidad de análisis, como </w:t>
      </w:r>
      <w:r w:rsidRPr="004E22D0">
        <w:rPr>
          <w:rFonts w:eastAsia="Times New Roman"/>
          <w:bCs/>
          <w:kern w:val="18"/>
          <w:lang w:eastAsia="es-ES"/>
        </w:rPr>
        <w:t>es</w:t>
      </w:r>
      <w:r>
        <w:rPr>
          <w:rFonts w:eastAsia="Times New Roman"/>
          <w:bCs/>
          <w:kern w:val="18"/>
          <w:lang w:eastAsia="es-ES"/>
        </w:rPr>
        <w:t xml:space="preserve"> la pendiente, </w:t>
      </w:r>
      <w:r w:rsidRPr="004E22D0">
        <w:rPr>
          <w:rFonts w:eastAsia="Times New Roman"/>
          <w:bCs/>
          <w:kern w:val="18"/>
          <w:lang w:eastAsia="es-ES"/>
        </w:rPr>
        <w:t>que</w:t>
      </w:r>
      <w:r>
        <w:rPr>
          <w:rFonts w:eastAsia="Times New Roman"/>
          <w:bCs/>
          <w:kern w:val="18"/>
          <w:lang w:eastAsia="es-ES"/>
        </w:rPr>
        <w:t xml:space="preserve"> </w:t>
      </w:r>
      <w:r w:rsidRPr="006F06E0">
        <w:rPr>
          <w:rFonts w:eastAsia="Times New Roman"/>
          <w:bCs/>
          <w:kern w:val="18"/>
          <w:lang w:eastAsia="es-ES"/>
        </w:rPr>
        <w:t xml:space="preserve">también </w:t>
      </w:r>
      <w:r w:rsidRPr="004E22D0">
        <w:rPr>
          <w:rFonts w:eastAsia="Times New Roman"/>
          <w:bCs/>
          <w:kern w:val="18"/>
          <w:lang w:eastAsia="es-ES"/>
        </w:rPr>
        <w:t>se contabiliza</w:t>
      </w:r>
      <w:r>
        <w:rPr>
          <w:rFonts w:eastAsia="Times New Roman"/>
          <w:bCs/>
          <w:kern w:val="18"/>
          <w:lang w:eastAsia="es-ES"/>
        </w:rPr>
        <w:t xml:space="preserve"> </w:t>
      </w:r>
      <w:r w:rsidRPr="00E05DE2">
        <w:rPr>
          <w:rFonts w:eastAsia="Times New Roman"/>
          <w:bCs/>
          <w:kern w:val="18"/>
          <w:lang w:eastAsia="es-ES"/>
        </w:rPr>
        <w:t>por su estrecha relación con los procesos de escorrentía y flujo laminar de agua y acarreos</w:t>
      </w:r>
      <w:r w:rsidRPr="004E22D0">
        <w:rPr>
          <w:rFonts w:eastAsia="Times New Roman"/>
          <w:bCs/>
          <w:kern w:val="18"/>
          <w:lang w:eastAsia="es-ES"/>
        </w:rPr>
        <w:t>.</w:t>
      </w:r>
      <w:r>
        <w:rPr>
          <w:rFonts w:eastAsia="Times New Roman"/>
          <w:bCs/>
          <w:kern w:val="18"/>
          <w:lang w:eastAsia="es-ES"/>
        </w:rPr>
        <w:t xml:space="preserve"> </w:t>
      </w:r>
      <w:r w:rsidRPr="004E22D0">
        <w:rPr>
          <w:rFonts w:eastAsia="Times New Roman"/>
          <w:bCs/>
          <w:kern w:val="18"/>
          <w:lang w:eastAsia="es-ES"/>
        </w:rPr>
        <w:t>En</w:t>
      </w:r>
      <w:r>
        <w:rPr>
          <w:rFonts w:eastAsia="Times New Roman"/>
          <w:bCs/>
          <w:kern w:val="18"/>
          <w:lang w:eastAsia="es-ES"/>
        </w:rPr>
        <w:t xml:space="preserve"> este caso se realiza una clasificación </w:t>
      </w:r>
      <w:r>
        <w:rPr>
          <w:rFonts w:eastAsia="Times New Roman"/>
          <w:bCs/>
          <w:kern w:val="18"/>
          <w:lang w:eastAsia="es-ES"/>
        </w:rPr>
        <w:lastRenderedPageBreak/>
        <w:t xml:space="preserve">de los valores por cuartil, normalizando de 0 a 1 la valoración y </w:t>
      </w:r>
      <w:r w:rsidRPr="004E22D0">
        <w:rPr>
          <w:rFonts w:eastAsia="Times New Roman"/>
          <w:bCs/>
          <w:kern w:val="18"/>
          <w:lang w:eastAsia="es-ES"/>
        </w:rPr>
        <w:t>añadiéndola así mismo</w:t>
      </w:r>
      <w:r>
        <w:rPr>
          <w:rFonts w:eastAsia="Times New Roman"/>
          <w:bCs/>
          <w:kern w:val="18"/>
          <w:lang w:eastAsia="es-ES"/>
        </w:rPr>
        <w:t xml:space="preserve"> al </w:t>
      </w:r>
      <w:r w:rsidRPr="004E22D0">
        <w:rPr>
          <w:rFonts w:eastAsia="Times New Roman"/>
          <w:bCs/>
          <w:kern w:val="18"/>
          <w:lang w:eastAsia="es-ES"/>
        </w:rPr>
        <w:t>cálculo</w:t>
      </w:r>
      <w:r>
        <w:rPr>
          <w:rFonts w:eastAsia="Times New Roman"/>
          <w:bCs/>
          <w:kern w:val="18"/>
          <w:lang w:eastAsia="es-ES"/>
        </w:rPr>
        <w:t xml:space="preserve"> realizado.</w:t>
      </w:r>
    </w:p>
    <w:p w14:paraId="61F9A276" w14:textId="77777777" w:rsidR="00C37732" w:rsidRDefault="00C37732" w:rsidP="00C37732">
      <w:pPr>
        <w:contextualSpacing/>
        <w:jc w:val="both"/>
        <w:rPr>
          <w:rFonts w:eastAsia="Times New Roman"/>
          <w:lang w:eastAsia="es-ES"/>
        </w:rPr>
      </w:pPr>
    </w:p>
    <w:p w14:paraId="40DA6B06" w14:textId="77777777" w:rsidR="00C37732" w:rsidRDefault="00C37732" w:rsidP="00C37732">
      <w:pPr>
        <w:spacing w:line="240" w:lineRule="auto"/>
        <w:contextualSpacing/>
        <w:jc w:val="both"/>
        <w:rPr>
          <w:b/>
        </w:rPr>
      </w:pPr>
      <w:r>
        <w:rPr>
          <w:b/>
        </w:rPr>
        <w:t xml:space="preserve">3.6 </w:t>
      </w:r>
      <w:r w:rsidRPr="009A57BE">
        <w:rPr>
          <w:b/>
        </w:rPr>
        <w:t>Valoración de la vulnerabilidad</w:t>
      </w:r>
    </w:p>
    <w:p w14:paraId="16489D13" w14:textId="77777777" w:rsidR="00C37732" w:rsidRDefault="00C37732" w:rsidP="00C37732">
      <w:pPr>
        <w:spacing w:line="240" w:lineRule="auto"/>
        <w:contextualSpacing/>
        <w:jc w:val="both"/>
        <w:rPr>
          <w:rFonts w:eastAsia="Times New Roman"/>
          <w:bCs/>
          <w:kern w:val="18"/>
          <w:lang w:eastAsia="es-ES"/>
        </w:rPr>
      </w:pPr>
    </w:p>
    <w:p w14:paraId="7ABE97D9" w14:textId="77777777" w:rsidR="00C37732" w:rsidRDefault="00C37732" w:rsidP="00AE1ADB">
      <w:pPr>
        <w:ind w:firstLine="426"/>
        <w:contextualSpacing/>
        <w:jc w:val="both"/>
        <w:rPr>
          <w:rFonts w:eastAsia="Times New Roman"/>
          <w:bCs/>
          <w:kern w:val="18"/>
          <w:lang w:eastAsia="es-ES"/>
        </w:rPr>
      </w:pPr>
      <w:r w:rsidRPr="00803AD4">
        <w:rPr>
          <w:rFonts w:eastAsia="Times New Roman"/>
          <w:bCs/>
          <w:kern w:val="18"/>
          <w:lang w:eastAsia="es-ES"/>
        </w:rPr>
        <w:t xml:space="preserve">La vulnerabilidad para cada elemento </w:t>
      </w:r>
      <w:r w:rsidRPr="00B11EBC">
        <w:rPr>
          <w:rFonts w:eastAsia="Times New Roman"/>
          <w:bCs/>
          <w:kern w:val="18"/>
          <w:lang w:eastAsia="es-ES"/>
        </w:rPr>
        <w:t>en riesgo</w:t>
      </w:r>
      <w:r>
        <w:rPr>
          <w:rFonts w:eastAsia="Times New Roman"/>
          <w:bCs/>
          <w:kern w:val="18"/>
          <w:lang w:eastAsia="es-ES"/>
        </w:rPr>
        <w:t xml:space="preserve"> </w:t>
      </w:r>
      <w:r w:rsidRPr="00803AD4">
        <w:rPr>
          <w:rFonts w:eastAsia="Times New Roman"/>
          <w:bCs/>
          <w:kern w:val="18"/>
          <w:lang w:eastAsia="es-ES"/>
        </w:rPr>
        <w:t xml:space="preserve">se </w:t>
      </w:r>
      <w:r w:rsidRPr="00B11EBC">
        <w:rPr>
          <w:rFonts w:eastAsia="Times New Roman"/>
          <w:bCs/>
          <w:kern w:val="18"/>
          <w:lang w:eastAsia="es-ES"/>
        </w:rPr>
        <w:t>estima</w:t>
      </w:r>
      <w:r>
        <w:rPr>
          <w:rFonts w:eastAsia="Times New Roman"/>
          <w:bCs/>
          <w:kern w:val="18"/>
          <w:lang w:eastAsia="es-ES"/>
        </w:rPr>
        <w:t xml:space="preserve"> </w:t>
      </w:r>
      <w:r w:rsidRPr="00803AD4">
        <w:rPr>
          <w:rFonts w:eastAsia="Times New Roman"/>
          <w:bCs/>
          <w:kern w:val="18"/>
          <w:lang w:eastAsia="es-ES"/>
        </w:rPr>
        <w:t>a través de la observación de diferentes indicadores</w:t>
      </w:r>
      <w:r w:rsidRPr="00B11EBC">
        <w:rPr>
          <w:rFonts w:eastAsia="Times New Roman"/>
          <w:bCs/>
          <w:kern w:val="18"/>
          <w:lang w:eastAsia="es-ES"/>
        </w:rPr>
        <w:t>.</w:t>
      </w:r>
      <w:r>
        <w:rPr>
          <w:rFonts w:eastAsia="Times New Roman"/>
          <w:bCs/>
          <w:kern w:val="18"/>
          <w:lang w:eastAsia="es-ES"/>
        </w:rPr>
        <w:t xml:space="preserve"> Su</w:t>
      </w:r>
      <w:r w:rsidRPr="00803AD4">
        <w:rPr>
          <w:rFonts w:eastAsia="Times New Roman"/>
          <w:bCs/>
          <w:kern w:val="18"/>
          <w:lang w:eastAsia="es-ES"/>
        </w:rPr>
        <w:t xml:space="preserve"> </w:t>
      </w:r>
      <w:r w:rsidRPr="00B02108">
        <w:rPr>
          <w:rFonts w:eastAsia="Times New Roman"/>
          <w:bCs/>
          <w:kern w:val="18"/>
          <w:lang w:eastAsia="es-ES"/>
        </w:rPr>
        <w:t>cómputo</w:t>
      </w:r>
      <w:r w:rsidRPr="00803AD4">
        <w:rPr>
          <w:rFonts w:eastAsia="Times New Roman"/>
          <w:bCs/>
          <w:kern w:val="18"/>
          <w:lang w:eastAsia="es-ES"/>
        </w:rPr>
        <w:t xml:space="preserve"> individual se realiza </w:t>
      </w:r>
      <w:r w:rsidRPr="00B11EBC">
        <w:rPr>
          <w:rFonts w:eastAsia="Times New Roman"/>
          <w:bCs/>
          <w:kern w:val="18"/>
          <w:lang w:eastAsia="es-ES"/>
        </w:rPr>
        <w:t>mediante</w:t>
      </w:r>
      <w:r>
        <w:rPr>
          <w:rFonts w:eastAsia="Times New Roman"/>
          <w:bCs/>
          <w:kern w:val="18"/>
          <w:lang w:eastAsia="es-ES"/>
        </w:rPr>
        <w:t xml:space="preserve"> </w:t>
      </w:r>
      <w:r w:rsidRPr="00803AD4">
        <w:rPr>
          <w:rFonts w:eastAsia="Times New Roman"/>
          <w:bCs/>
          <w:kern w:val="18"/>
          <w:lang w:eastAsia="es-ES"/>
        </w:rPr>
        <w:t xml:space="preserve">la agrupación de cada variable en cuartiles para, a continuación, normalizar el valor de 0 a 1. </w:t>
      </w:r>
      <w:r w:rsidRPr="00B11EBC">
        <w:rPr>
          <w:rFonts w:eastAsia="Times New Roman"/>
          <w:bCs/>
          <w:kern w:val="18"/>
          <w:lang w:eastAsia="es-ES"/>
        </w:rPr>
        <w:t>Con posterioridad,</w:t>
      </w:r>
      <w:r>
        <w:rPr>
          <w:rFonts w:eastAsia="Times New Roman"/>
          <w:bCs/>
          <w:kern w:val="18"/>
          <w:lang w:eastAsia="es-ES"/>
        </w:rPr>
        <w:t xml:space="preserve"> </w:t>
      </w:r>
      <w:r w:rsidRPr="00803AD4">
        <w:rPr>
          <w:rFonts w:eastAsia="Times New Roman"/>
          <w:bCs/>
          <w:kern w:val="18"/>
          <w:lang w:eastAsia="es-ES"/>
        </w:rPr>
        <w:t xml:space="preserve">cada uno de estos </w:t>
      </w:r>
      <w:r w:rsidRPr="00B02108">
        <w:rPr>
          <w:rFonts w:eastAsia="Times New Roman"/>
          <w:bCs/>
          <w:kern w:val="18"/>
          <w:lang w:eastAsia="es-ES"/>
        </w:rPr>
        <w:t>cómputos</w:t>
      </w:r>
      <w:r w:rsidRPr="00803AD4">
        <w:rPr>
          <w:rFonts w:eastAsia="Times New Roman"/>
          <w:bCs/>
          <w:kern w:val="18"/>
          <w:lang w:eastAsia="es-ES"/>
        </w:rPr>
        <w:t xml:space="preserve"> se suma para obtener el valor (V) dentro de la ecuación de cálculo de la vulnerabilidad total (</w:t>
      </w:r>
      <w:proofErr w:type="spellStart"/>
      <w:r w:rsidRPr="00803AD4">
        <w:rPr>
          <w:rFonts w:eastAsia="Times New Roman"/>
          <w:bCs/>
          <w:kern w:val="18"/>
          <w:lang w:eastAsia="es-ES"/>
        </w:rPr>
        <w:t>Vt</w:t>
      </w:r>
      <w:proofErr w:type="spellEnd"/>
      <w:r w:rsidRPr="00803AD4">
        <w:rPr>
          <w:rFonts w:eastAsia="Times New Roman"/>
          <w:bCs/>
          <w:kern w:val="18"/>
          <w:lang w:eastAsia="es-ES"/>
        </w:rPr>
        <w:t>). De este modo se identifican: (1) componentes constructivos</w:t>
      </w:r>
      <w:r w:rsidRPr="00396838">
        <w:rPr>
          <w:rFonts w:eastAsia="Times New Roman"/>
          <w:bCs/>
          <w:kern w:val="18"/>
          <w:lang w:eastAsia="es-ES"/>
        </w:rPr>
        <w:t xml:space="preserve"> (</w:t>
      </w:r>
      <w:proofErr w:type="spellStart"/>
      <w:r w:rsidRPr="00396838">
        <w:rPr>
          <w:rFonts w:eastAsia="Times New Roman"/>
          <w:bCs/>
          <w:kern w:val="18"/>
          <w:lang w:eastAsia="es-ES"/>
        </w:rPr>
        <w:t>Dwyer</w:t>
      </w:r>
      <w:proofErr w:type="spellEnd"/>
      <w:r w:rsidRPr="00396838">
        <w:rPr>
          <w:rFonts w:eastAsia="Times New Roman"/>
          <w:bCs/>
          <w:kern w:val="18"/>
          <w:lang w:eastAsia="es-ES"/>
        </w:rPr>
        <w:t xml:space="preserve"> </w:t>
      </w:r>
      <w:r w:rsidRPr="00B11EBC">
        <w:rPr>
          <w:rFonts w:eastAsia="Times New Roman"/>
          <w:bCs/>
          <w:i/>
          <w:kern w:val="18"/>
          <w:lang w:eastAsia="es-ES"/>
        </w:rPr>
        <w:t>et al</w:t>
      </w:r>
      <w:r w:rsidRPr="00B11EBC">
        <w:rPr>
          <w:rFonts w:eastAsia="Times New Roman"/>
          <w:bCs/>
          <w:kern w:val="18"/>
          <w:lang w:eastAsia="es-ES"/>
        </w:rPr>
        <w:t>.,</w:t>
      </w:r>
      <w:r w:rsidRPr="00396838">
        <w:rPr>
          <w:rFonts w:eastAsia="Times New Roman"/>
          <w:bCs/>
          <w:kern w:val="18"/>
          <w:lang w:eastAsia="es-ES"/>
        </w:rPr>
        <w:t xml:space="preserve"> 2004), como la edad de los inmuebles y la ubicación de edificaciones bajo el nivel de la calzada</w:t>
      </w:r>
      <w:r>
        <w:rPr>
          <w:rFonts w:eastAsia="Times New Roman"/>
          <w:bCs/>
          <w:kern w:val="18"/>
          <w:lang w:eastAsia="es-ES"/>
        </w:rPr>
        <w:t>;</w:t>
      </w:r>
      <w:r w:rsidRPr="00396838">
        <w:rPr>
          <w:rFonts w:eastAsia="Times New Roman"/>
          <w:bCs/>
          <w:kern w:val="18"/>
          <w:lang w:eastAsia="es-ES"/>
        </w:rPr>
        <w:t xml:space="preserve"> (</w:t>
      </w:r>
      <w:r>
        <w:rPr>
          <w:rFonts w:eastAsia="Times New Roman"/>
          <w:bCs/>
          <w:kern w:val="18"/>
          <w:lang w:eastAsia="es-ES"/>
        </w:rPr>
        <w:t>2) e</w:t>
      </w:r>
      <w:r w:rsidRPr="00396838">
        <w:rPr>
          <w:rFonts w:eastAsia="Times New Roman"/>
          <w:bCs/>
          <w:kern w:val="18"/>
          <w:lang w:eastAsia="es-ES"/>
        </w:rPr>
        <w:t xml:space="preserve">l número de comercios, restaurantes y servicios </w:t>
      </w:r>
      <w:r>
        <w:rPr>
          <w:rFonts w:eastAsia="Times New Roman"/>
          <w:bCs/>
          <w:kern w:val="18"/>
          <w:lang w:eastAsia="es-ES"/>
        </w:rPr>
        <w:t xml:space="preserve">ubicados en </w:t>
      </w:r>
      <w:r w:rsidRPr="00396838">
        <w:rPr>
          <w:rFonts w:eastAsia="Times New Roman"/>
          <w:bCs/>
          <w:kern w:val="18"/>
          <w:lang w:eastAsia="es-ES"/>
        </w:rPr>
        <w:t>cada parcela (Cabildo de Tenerife), que suelen estar generalment</w:t>
      </w:r>
      <w:r>
        <w:rPr>
          <w:rFonts w:eastAsia="Times New Roman"/>
          <w:bCs/>
          <w:kern w:val="18"/>
          <w:lang w:eastAsia="es-ES"/>
        </w:rPr>
        <w:t xml:space="preserve">e en la primera planta; (3) la superficie de las </w:t>
      </w:r>
      <w:r w:rsidRPr="00B11EBC">
        <w:rPr>
          <w:rFonts w:eastAsia="Times New Roman"/>
          <w:bCs/>
          <w:kern w:val="18"/>
          <w:lang w:eastAsia="es-ES"/>
        </w:rPr>
        <w:t>edificaciones ubicadas</w:t>
      </w:r>
      <w:r>
        <w:rPr>
          <w:rFonts w:eastAsia="Times New Roman"/>
          <w:bCs/>
          <w:kern w:val="18"/>
          <w:lang w:eastAsia="es-ES"/>
        </w:rPr>
        <w:t xml:space="preserve"> bajo rasante; y (4) </w:t>
      </w:r>
      <w:r w:rsidRPr="00396838">
        <w:rPr>
          <w:rFonts w:eastAsia="Times New Roman"/>
          <w:bCs/>
          <w:kern w:val="18"/>
          <w:lang w:eastAsia="es-ES"/>
        </w:rPr>
        <w:t xml:space="preserve">elementos cuantitativos referidos a las personas, como el aforo de determinadas instalaciones, el número de plazas alojativas o la población residente total desagregada en </w:t>
      </w:r>
      <w:r w:rsidRPr="00B11EBC">
        <w:rPr>
          <w:rFonts w:eastAsia="Times New Roman"/>
          <w:bCs/>
          <w:kern w:val="18"/>
          <w:lang w:eastAsia="es-ES"/>
        </w:rPr>
        <w:t>parcelas,</w:t>
      </w:r>
      <w:r w:rsidRPr="00396838">
        <w:rPr>
          <w:rFonts w:eastAsia="Times New Roman"/>
          <w:bCs/>
          <w:kern w:val="18"/>
          <w:lang w:eastAsia="es-ES"/>
        </w:rPr>
        <w:t xml:space="preserve"> a partir de los registros de 10 núcleos de población</w:t>
      </w:r>
      <w:r>
        <w:rPr>
          <w:rFonts w:eastAsia="Times New Roman"/>
          <w:bCs/>
          <w:kern w:val="18"/>
          <w:lang w:eastAsia="es-ES"/>
        </w:rPr>
        <w:t xml:space="preserve"> que conforman el área de estudio.</w:t>
      </w:r>
      <w:r w:rsidRPr="00396838">
        <w:rPr>
          <w:rFonts w:eastAsia="Times New Roman"/>
          <w:bCs/>
          <w:kern w:val="18"/>
          <w:lang w:eastAsia="es-ES"/>
        </w:rPr>
        <w:t xml:space="preserve"> </w:t>
      </w:r>
    </w:p>
    <w:p w14:paraId="41AB56E7" w14:textId="77777777" w:rsidR="00C37732" w:rsidRPr="009925E2" w:rsidRDefault="00C37732" w:rsidP="00AE1ADB">
      <w:pPr>
        <w:spacing w:line="276" w:lineRule="auto"/>
        <w:contextualSpacing/>
        <w:rPr>
          <w:rFonts w:eastAsia="Times New Roman"/>
          <w:bCs/>
          <w:kern w:val="18"/>
          <w:szCs w:val="20"/>
          <w:lang w:eastAsia="es-ES"/>
        </w:rPr>
      </w:pPr>
    </w:p>
    <w:tbl>
      <w:tblPr>
        <w:tblW w:w="5000" w:type="pct"/>
        <w:tblCellMar>
          <w:left w:w="70" w:type="dxa"/>
          <w:right w:w="70" w:type="dxa"/>
        </w:tblCellMar>
        <w:tblLook w:val="04A0" w:firstRow="1" w:lastRow="0" w:firstColumn="1" w:lastColumn="0" w:noHBand="0" w:noVBand="1"/>
      </w:tblPr>
      <w:tblGrid>
        <w:gridCol w:w="2745"/>
        <w:gridCol w:w="1650"/>
        <w:gridCol w:w="887"/>
        <w:gridCol w:w="1408"/>
        <w:gridCol w:w="1814"/>
      </w:tblGrid>
      <w:tr w:rsidR="00C37732" w:rsidRPr="00D91B31" w14:paraId="11544E93" w14:textId="77777777" w:rsidTr="00AE1ADB">
        <w:trPr>
          <w:trHeight w:val="300"/>
          <w:tblHeader/>
        </w:trPr>
        <w:tc>
          <w:tcPr>
            <w:tcW w:w="1614" w:type="pct"/>
            <w:tcBorders>
              <w:top w:val="nil"/>
              <w:left w:val="nil"/>
              <w:bottom w:val="single" w:sz="4" w:space="0" w:color="auto"/>
              <w:right w:val="nil"/>
            </w:tcBorders>
            <w:shd w:val="clear" w:color="auto" w:fill="auto"/>
            <w:noWrap/>
            <w:vAlign w:val="bottom"/>
            <w:hideMark/>
          </w:tcPr>
          <w:p w14:paraId="6531B5AE" w14:textId="77777777" w:rsidR="00C37732" w:rsidRPr="00D91B31" w:rsidRDefault="00C37732" w:rsidP="00C37732">
            <w:pPr>
              <w:spacing w:line="240" w:lineRule="auto"/>
              <w:rPr>
                <w:rFonts w:eastAsia="Times New Roman"/>
                <w:b/>
                <w:bCs/>
                <w:color w:val="000000"/>
                <w:sz w:val="18"/>
                <w:szCs w:val="18"/>
                <w:lang w:eastAsia="es-ES"/>
              </w:rPr>
            </w:pPr>
            <w:r w:rsidRPr="00D91B31">
              <w:rPr>
                <w:rFonts w:eastAsia="Times New Roman"/>
                <w:b/>
                <w:bCs/>
                <w:color w:val="000000"/>
                <w:sz w:val="18"/>
                <w:szCs w:val="18"/>
                <w:lang w:eastAsia="es-ES"/>
              </w:rPr>
              <w:t>Agrupación de Elementos Vulnerables</w:t>
            </w:r>
          </w:p>
        </w:tc>
        <w:tc>
          <w:tcPr>
            <w:tcW w:w="970" w:type="pct"/>
            <w:tcBorders>
              <w:top w:val="nil"/>
              <w:left w:val="nil"/>
              <w:bottom w:val="single" w:sz="4" w:space="0" w:color="auto"/>
              <w:right w:val="nil"/>
            </w:tcBorders>
            <w:shd w:val="clear" w:color="auto" w:fill="auto"/>
            <w:noWrap/>
            <w:vAlign w:val="bottom"/>
            <w:hideMark/>
          </w:tcPr>
          <w:p w14:paraId="3F13C547" w14:textId="77777777" w:rsidR="00C37732" w:rsidRPr="00D91B31" w:rsidRDefault="00C37732" w:rsidP="00C37732">
            <w:pPr>
              <w:spacing w:line="240" w:lineRule="auto"/>
              <w:rPr>
                <w:rFonts w:eastAsia="Times New Roman"/>
                <w:b/>
                <w:bCs/>
                <w:color w:val="000000"/>
                <w:sz w:val="18"/>
                <w:szCs w:val="18"/>
                <w:lang w:eastAsia="es-ES"/>
              </w:rPr>
            </w:pPr>
            <w:r w:rsidRPr="00D91B31">
              <w:rPr>
                <w:rFonts w:eastAsia="Times New Roman"/>
                <w:b/>
                <w:bCs/>
                <w:color w:val="000000"/>
                <w:sz w:val="18"/>
                <w:szCs w:val="18"/>
                <w:lang w:eastAsia="es-ES"/>
              </w:rPr>
              <w:t>Indicadores de Amenaza-Exposición</w:t>
            </w:r>
          </w:p>
        </w:tc>
        <w:tc>
          <w:tcPr>
            <w:tcW w:w="522" w:type="pct"/>
            <w:tcBorders>
              <w:top w:val="nil"/>
              <w:left w:val="nil"/>
              <w:bottom w:val="single" w:sz="4" w:space="0" w:color="auto"/>
              <w:right w:val="nil"/>
            </w:tcBorders>
            <w:shd w:val="clear" w:color="auto" w:fill="auto"/>
            <w:noWrap/>
            <w:vAlign w:val="bottom"/>
            <w:hideMark/>
          </w:tcPr>
          <w:p w14:paraId="7484124D" w14:textId="77777777" w:rsidR="00C37732" w:rsidRPr="00D91B31" w:rsidRDefault="00C37732" w:rsidP="00C37732">
            <w:pPr>
              <w:tabs>
                <w:tab w:val="left" w:pos="970"/>
              </w:tabs>
              <w:spacing w:line="240" w:lineRule="auto"/>
              <w:rPr>
                <w:rFonts w:eastAsia="Times New Roman"/>
                <w:b/>
                <w:bCs/>
                <w:color w:val="000000"/>
                <w:sz w:val="18"/>
                <w:szCs w:val="18"/>
                <w:lang w:eastAsia="es-ES"/>
              </w:rPr>
            </w:pPr>
            <w:r w:rsidRPr="00D91B31">
              <w:rPr>
                <w:rFonts w:eastAsia="Times New Roman"/>
                <w:b/>
                <w:bCs/>
                <w:color w:val="000000"/>
                <w:sz w:val="18"/>
                <w:szCs w:val="18"/>
                <w:lang w:eastAsia="es-ES"/>
              </w:rPr>
              <w:t>Valores asignados</w:t>
            </w:r>
          </w:p>
        </w:tc>
        <w:tc>
          <w:tcPr>
            <w:tcW w:w="828" w:type="pct"/>
            <w:tcBorders>
              <w:top w:val="nil"/>
              <w:left w:val="nil"/>
              <w:bottom w:val="single" w:sz="4" w:space="0" w:color="auto"/>
              <w:right w:val="nil"/>
            </w:tcBorders>
            <w:shd w:val="clear" w:color="auto" w:fill="auto"/>
            <w:noWrap/>
            <w:vAlign w:val="bottom"/>
            <w:hideMark/>
          </w:tcPr>
          <w:p w14:paraId="09BF0831" w14:textId="77777777" w:rsidR="00C37732" w:rsidRPr="00D91B31" w:rsidRDefault="00C37732" w:rsidP="00C37732">
            <w:pPr>
              <w:spacing w:line="240" w:lineRule="auto"/>
              <w:rPr>
                <w:rFonts w:eastAsia="Times New Roman"/>
                <w:b/>
                <w:bCs/>
                <w:color w:val="000000"/>
                <w:sz w:val="18"/>
                <w:szCs w:val="18"/>
                <w:lang w:eastAsia="es-ES"/>
              </w:rPr>
            </w:pPr>
            <w:r w:rsidRPr="00D91B31">
              <w:rPr>
                <w:rFonts w:eastAsia="Times New Roman"/>
                <w:b/>
                <w:bCs/>
                <w:color w:val="000000"/>
                <w:sz w:val="18"/>
                <w:szCs w:val="18"/>
                <w:lang w:eastAsia="es-ES"/>
              </w:rPr>
              <w:t>Indicadores de Vulnerabilidad</w:t>
            </w:r>
          </w:p>
        </w:tc>
        <w:tc>
          <w:tcPr>
            <w:tcW w:w="1067" w:type="pct"/>
            <w:tcBorders>
              <w:top w:val="nil"/>
              <w:left w:val="nil"/>
              <w:bottom w:val="single" w:sz="4" w:space="0" w:color="auto"/>
              <w:right w:val="nil"/>
            </w:tcBorders>
            <w:shd w:val="clear" w:color="auto" w:fill="auto"/>
            <w:noWrap/>
            <w:vAlign w:val="bottom"/>
            <w:hideMark/>
          </w:tcPr>
          <w:p w14:paraId="00A9E8CA" w14:textId="77777777" w:rsidR="00C37732" w:rsidRPr="00D91B31" w:rsidRDefault="00C37732" w:rsidP="00C37732">
            <w:pPr>
              <w:spacing w:line="240" w:lineRule="auto"/>
              <w:rPr>
                <w:rFonts w:eastAsia="Times New Roman"/>
                <w:b/>
                <w:bCs/>
                <w:color w:val="000000"/>
                <w:sz w:val="18"/>
                <w:szCs w:val="18"/>
                <w:lang w:eastAsia="es-ES"/>
              </w:rPr>
            </w:pPr>
            <w:r w:rsidRPr="00D91B31">
              <w:rPr>
                <w:rFonts w:eastAsia="Times New Roman"/>
                <w:b/>
                <w:bCs/>
                <w:color w:val="000000"/>
                <w:sz w:val="18"/>
                <w:szCs w:val="18"/>
                <w:lang w:eastAsia="es-ES"/>
              </w:rPr>
              <w:t>Valores asignados</w:t>
            </w:r>
          </w:p>
        </w:tc>
      </w:tr>
      <w:tr w:rsidR="00C37732" w:rsidRPr="00D91B31" w14:paraId="2E6669EA" w14:textId="77777777" w:rsidTr="00AE1ADB">
        <w:trPr>
          <w:trHeight w:val="537"/>
        </w:trPr>
        <w:tc>
          <w:tcPr>
            <w:tcW w:w="1614" w:type="pct"/>
            <w:vMerge w:val="restart"/>
            <w:tcBorders>
              <w:top w:val="single" w:sz="4" w:space="0" w:color="auto"/>
              <w:left w:val="nil"/>
              <w:right w:val="nil"/>
            </w:tcBorders>
            <w:shd w:val="clear" w:color="auto" w:fill="auto"/>
            <w:noWrap/>
            <w:vAlign w:val="center"/>
            <w:hideMark/>
          </w:tcPr>
          <w:p w14:paraId="6A5711ED" w14:textId="77777777" w:rsidR="00C37732" w:rsidRDefault="00C37732" w:rsidP="00C37732">
            <w:pPr>
              <w:spacing w:line="240" w:lineRule="auto"/>
              <w:rPr>
                <w:rFonts w:eastAsia="Times New Roman"/>
                <w:b/>
                <w:bCs/>
                <w:color w:val="000000"/>
                <w:sz w:val="18"/>
                <w:szCs w:val="18"/>
                <w:lang w:eastAsia="es-ES"/>
              </w:rPr>
            </w:pPr>
            <w:r>
              <w:rPr>
                <w:rFonts w:eastAsia="Times New Roman"/>
                <w:b/>
                <w:bCs/>
                <w:color w:val="000000"/>
                <w:sz w:val="18"/>
                <w:szCs w:val="18"/>
                <w:lang w:eastAsia="es-ES"/>
              </w:rPr>
              <w:t xml:space="preserve">1. </w:t>
            </w:r>
            <w:r w:rsidRPr="00D91B31">
              <w:rPr>
                <w:rFonts w:eastAsia="Times New Roman"/>
                <w:b/>
                <w:bCs/>
                <w:color w:val="000000"/>
                <w:sz w:val="18"/>
                <w:szCs w:val="18"/>
                <w:lang w:eastAsia="es-ES"/>
              </w:rPr>
              <w:t>Playas y zonas de baño</w:t>
            </w:r>
          </w:p>
          <w:p w14:paraId="2957A31A" w14:textId="77777777" w:rsidR="00C37732" w:rsidRPr="001F2929" w:rsidRDefault="00C37732" w:rsidP="00C37732">
            <w:pPr>
              <w:spacing w:line="240" w:lineRule="auto"/>
              <w:rPr>
                <w:rFonts w:eastAsia="Times New Roman"/>
                <w:bCs/>
                <w:i/>
                <w:color w:val="000000"/>
                <w:sz w:val="18"/>
                <w:szCs w:val="18"/>
                <w:lang w:eastAsia="es-ES"/>
              </w:rPr>
            </w:pPr>
            <w:r w:rsidRPr="001F2929">
              <w:rPr>
                <w:rFonts w:eastAsia="Times New Roman"/>
                <w:bCs/>
                <w:i/>
                <w:color w:val="000000"/>
                <w:sz w:val="18"/>
                <w:szCs w:val="18"/>
                <w:lang w:eastAsia="es-ES"/>
              </w:rPr>
              <w:t>Factor de ponderación 0,25</w:t>
            </w:r>
          </w:p>
        </w:tc>
        <w:tc>
          <w:tcPr>
            <w:tcW w:w="970" w:type="pct"/>
            <w:tcBorders>
              <w:top w:val="single" w:sz="4" w:space="0" w:color="auto"/>
              <w:left w:val="nil"/>
              <w:right w:val="nil"/>
            </w:tcBorders>
            <w:shd w:val="clear" w:color="auto" w:fill="auto"/>
            <w:vAlign w:val="center"/>
            <w:hideMark/>
          </w:tcPr>
          <w:p w14:paraId="2218F11E"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Daños constatados (PDA, prensa)</w:t>
            </w:r>
          </w:p>
        </w:tc>
        <w:tc>
          <w:tcPr>
            <w:tcW w:w="522" w:type="pct"/>
            <w:tcBorders>
              <w:top w:val="single" w:sz="4" w:space="0" w:color="auto"/>
              <w:left w:val="nil"/>
              <w:right w:val="nil"/>
            </w:tcBorders>
            <w:shd w:val="clear" w:color="auto" w:fill="auto"/>
            <w:vAlign w:val="center"/>
            <w:hideMark/>
          </w:tcPr>
          <w:p w14:paraId="31E6C91E"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7DBE46BB"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1 x evento</w:t>
            </w:r>
          </w:p>
        </w:tc>
        <w:tc>
          <w:tcPr>
            <w:tcW w:w="828" w:type="pct"/>
            <w:tcBorders>
              <w:top w:val="single" w:sz="4" w:space="0" w:color="auto"/>
              <w:left w:val="nil"/>
              <w:right w:val="nil"/>
            </w:tcBorders>
            <w:shd w:val="clear" w:color="auto" w:fill="auto"/>
            <w:vAlign w:val="center"/>
            <w:hideMark/>
          </w:tcPr>
          <w:p w14:paraId="07AC750A"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Capacidad de acogida</w:t>
            </w:r>
          </w:p>
        </w:tc>
        <w:tc>
          <w:tcPr>
            <w:tcW w:w="1067" w:type="pct"/>
            <w:tcBorders>
              <w:top w:val="single" w:sz="4" w:space="0" w:color="auto"/>
              <w:left w:val="nil"/>
              <w:right w:val="nil"/>
            </w:tcBorders>
            <w:shd w:val="clear" w:color="auto" w:fill="auto"/>
            <w:vAlign w:val="center"/>
            <w:hideMark/>
          </w:tcPr>
          <w:p w14:paraId="7E12B2E8"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Asignación según capacidad de carga y superficie</w:t>
            </w:r>
          </w:p>
        </w:tc>
      </w:tr>
      <w:tr w:rsidR="00C37732" w:rsidRPr="00D91B31" w14:paraId="75291DDA" w14:textId="77777777" w:rsidTr="00AE1ADB">
        <w:trPr>
          <w:trHeight w:val="300"/>
        </w:trPr>
        <w:tc>
          <w:tcPr>
            <w:tcW w:w="1614" w:type="pct"/>
            <w:vMerge/>
            <w:tcBorders>
              <w:left w:val="nil"/>
              <w:right w:val="nil"/>
            </w:tcBorders>
            <w:shd w:val="clear" w:color="auto" w:fill="auto"/>
            <w:noWrap/>
            <w:vAlign w:val="center"/>
            <w:hideMark/>
          </w:tcPr>
          <w:p w14:paraId="29FA04C2" w14:textId="77777777" w:rsidR="00C37732" w:rsidRPr="00D91B31" w:rsidRDefault="00C37732" w:rsidP="00C37732">
            <w:pPr>
              <w:spacing w:line="240" w:lineRule="auto"/>
              <w:rPr>
                <w:rFonts w:eastAsia="Times New Roman"/>
                <w:b/>
                <w:bCs/>
                <w:color w:val="000000"/>
                <w:sz w:val="18"/>
                <w:szCs w:val="18"/>
                <w:lang w:eastAsia="es-ES"/>
              </w:rPr>
            </w:pPr>
          </w:p>
        </w:tc>
        <w:tc>
          <w:tcPr>
            <w:tcW w:w="970" w:type="pct"/>
            <w:tcBorders>
              <w:left w:val="nil"/>
              <w:bottom w:val="nil"/>
              <w:right w:val="nil"/>
            </w:tcBorders>
            <w:shd w:val="clear" w:color="auto" w:fill="auto"/>
            <w:vAlign w:val="center"/>
            <w:hideMark/>
          </w:tcPr>
          <w:p w14:paraId="77955CA4"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Se encuentra en zona inundable (SNCZI)</w:t>
            </w:r>
          </w:p>
        </w:tc>
        <w:tc>
          <w:tcPr>
            <w:tcW w:w="522" w:type="pct"/>
            <w:tcBorders>
              <w:left w:val="nil"/>
              <w:bottom w:val="nil"/>
              <w:right w:val="nil"/>
            </w:tcBorders>
            <w:shd w:val="clear" w:color="auto" w:fill="auto"/>
            <w:vAlign w:val="center"/>
            <w:hideMark/>
          </w:tcPr>
          <w:p w14:paraId="380FFB6F"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582DB4E7"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1 x evento</w:t>
            </w:r>
          </w:p>
        </w:tc>
        <w:tc>
          <w:tcPr>
            <w:tcW w:w="828" w:type="pct"/>
            <w:tcBorders>
              <w:left w:val="nil"/>
              <w:bottom w:val="nil"/>
              <w:right w:val="nil"/>
            </w:tcBorders>
            <w:shd w:val="clear" w:color="auto" w:fill="auto"/>
            <w:noWrap/>
            <w:vAlign w:val="center"/>
            <w:hideMark/>
          </w:tcPr>
          <w:p w14:paraId="6C81EB1D" w14:textId="77777777" w:rsidR="00C37732" w:rsidRPr="00D91B31" w:rsidRDefault="00C37732" w:rsidP="00C37732">
            <w:pPr>
              <w:spacing w:line="240" w:lineRule="auto"/>
              <w:rPr>
                <w:rFonts w:eastAsia="Times New Roman"/>
                <w:color w:val="000000"/>
                <w:sz w:val="18"/>
                <w:szCs w:val="18"/>
                <w:lang w:eastAsia="es-ES"/>
              </w:rPr>
            </w:pPr>
          </w:p>
        </w:tc>
        <w:tc>
          <w:tcPr>
            <w:tcW w:w="1067" w:type="pct"/>
            <w:tcBorders>
              <w:left w:val="nil"/>
              <w:bottom w:val="nil"/>
              <w:right w:val="nil"/>
            </w:tcBorders>
            <w:shd w:val="clear" w:color="auto" w:fill="auto"/>
            <w:vAlign w:val="center"/>
            <w:hideMark/>
          </w:tcPr>
          <w:p w14:paraId="4F25B8A3" w14:textId="77777777" w:rsidR="00C37732" w:rsidRPr="00D91B31" w:rsidRDefault="00C37732" w:rsidP="00C37732">
            <w:pPr>
              <w:spacing w:line="240" w:lineRule="auto"/>
              <w:rPr>
                <w:rFonts w:eastAsia="Times New Roman"/>
                <w:color w:val="000000"/>
                <w:sz w:val="18"/>
                <w:szCs w:val="18"/>
                <w:lang w:eastAsia="es-ES"/>
              </w:rPr>
            </w:pPr>
          </w:p>
        </w:tc>
      </w:tr>
      <w:tr w:rsidR="00C37732" w:rsidRPr="00D91B31" w14:paraId="4BB6C299" w14:textId="77777777" w:rsidTr="00AE1ADB">
        <w:trPr>
          <w:trHeight w:val="300"/>
        </w:trPr>
        <w:tc>
          <w:tcPr>
            <w:tcW w:w="1614" w:type="pct"/>
            <w:vMerge/>
            <w:tcBorders>
              <w:left w:val="nil"/>
              <w:bottom w:val="single" w:sz="4" w:space="0" w:color="auto"/>
              <w:right w:val="nil"/>
            </w:tcBorders>
            <w:shd w:val="clear" w:color="auto" w:fill="auto"/>
            <w:noWrap/>
            <w:vAlign w:val="center"/>
            <w:hideMark/>
          </w:tcPr>
          <w:p w14:paraId="456B2FD4" w14:textId="77777777" w:rsidR="00C37732" w:rsidRPr="00D91B31" w:rsidRDefault="00C37732" w:rsidP="00C37732">
            <w:pPr>
              <w:spacing w:line="240" w:lineRule="auto"/>
              <w:rPr>
                <w:rFonts w:eastAsia="Times New Roman"/>
                <w:b/>
                <w:bCs/>
                <w:color w:val="000000"/>
                <w:sz w:val="18"/>
                <w:szCs w:val="18"/>
                <w:lang w:eastAsia="es-ES"/>
              </w:rPr>
            </w:pPr>
          </w:p>
        </w:tc>
        <w:tc>
          <w:tcPr>
            <w:tcW w:w="970" w:type="pct"/>
            <w:tcBorders>
              <w:top w:val="nil"/>
              <w:left w:val="nil"/>
              <w:bottom w:val="single" w:sz="4" w:space="0" w:color="auto"/>
              <w:right w:val="nil"/>
            </w:tcBorders>
            <w:shd w:val="clear" w:color="auto" w:fill="auto"/>
            <w:vAlign w:val="center"/>
            <w:hideMark/>
          </w:tcPr>
          <w:p w14:paraId="3C16A6C4"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Es desembocadura de cuenca</w:t>
            </w:r>
          </w:p>
        </w:tc>
        <w:tc>
          <w:tcPr>
            <w:tcW w:w="522" w:type="pct"/>
            <w:tcBorders>
              <w:top w:val="nil"/>
              <w:left w:val="nil"/>
              <w:bottom w:val="single" w:sz="4" w:space="0" w:color="auto"/>
              <w:right w:val="nil"/>
            </w:tcBorders>
            <w:shd w:val="clear" w:color="auto" w:fill="auto"/>
            <w:vAlign w:val="center"/>
            <w:hideMark/>
          </w:tcPr>
          <w:p w14:paraId="4C08835F"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7DA4A900"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1 x evento</w:t>
            </w:r>
          </w:p>
        </w:tc>
        <w:tc>
          <w:tcPr>
            <w:tcW w:w="828" w:type="pct"/>
            <w:tcBorders>
              <w:top w:val="nil"/>
              <w:left w:val="nil"/>
              <w:bottom w:val="single" w:sz="4" w:space="0" w:color="auto"/>
              <w:right w:val="nil"/>
            </w:tcBorders>
            <w:shd w:val="clear" w:color="auto" w:fill="auto"/>
            <w:vAlign w:val="center"/>
            <w:hideMark/>
          </w:tcPr>
          <w:p w14:paraId="30F46EDF" w14:textId="77777777" w:rsidR="00C37732" w:rsidRPr="00D91B31" w:rsidRDefault="00C37732" w:rsidP="00C37732">
            <w:pPr>
              <w:spacing w:line="240" w:lineRule="auto"/>
              <w:rPr>
                <w:rFonts w:eastAsia="Times New Roman"/>
                <w:color w:val="000000"/>
                <w:sz w:val="18"/>
                <w:szCs w:val="18"/>
                <w:lang w:eastAsia="es-ES"/>
              </w:rPr>
            </w:pPr>
          </w:p>
        </w:tc>
        <w:tc>
          <w:tcPr>
            <w:tcW w:w="1067" w:type="pct"/>
            <w:tcBorders>
              <w:top w:val="nil"/>
              <w:left w:val="nil"/>
              <w:bottom w:val="single" w:sz="4" w:space="0" w:color="auto"/>
              <w:right w:val="nil"/>
            </w:tcBorders>
            <w:shd w:val="clear" w:color="auto" w:fill="auto"/>
            <w:vAlign w:val="center"/>
            <w:hideMark/>
          </w:tcPr>
          <w:p w14:paraId="2C4E1CE2" w14:textId="77777777" w:rsidR="00C37732" w:rsidRPr="00D91B31" w:rsidRDefault="00C37732" w:rsidP="00C37732">
            <w:pPr>
              <w:spacing w:line="240" w:lineRule="auto"/>
              <w:rPr>
                <w:rFonts w:eastAsia="Times New Roman"/>
                <w:color w:val="000000"/>
                <w:sz w:val="18"/>
                <w:szCs w:val="18"/>
                <w:lang w:eastAsia="es-ES"/>
              </w:rPr>
            </w:pPr>
          </w:p>
        </w:tc>
      </w:tr>
      <w:tr w:rsidR="00C37732" w:rsidRPr="00D91B31" w14:paraId="70B102F4" w14:textId="77777777" w:rsidTr="00AE1ADB">
        <w:trPr>
          <w:trHeight w:val="402"/>
        </w:trPr>
        <w:tc>
          <w:tcPr>
            <w:tcW w:w="1614" w:type="pct"/>
            <w:vMerge w:val="restart"/>
            <w:tcBorders>
              <w:top w:val="single" w:sz="4" w:space="0" w:color="auto"/>
              <w:left w:val="nil"/>
              <w:right w:val="nil"/>
            </w:tcBorders>
            <w:shd w:val="clear" w:color="auto" w:fill="auto"/>
            <w:noWrap/>
            <w:vAlign w:val="center"/>
            <w:hideMark/>
          </w:tcPr>
          <w:p w14:paraId="3D543FC6" w14:textId="77777777" w:rsidR="00C37732" w:rsidRDefault="00C37732" w:rsidP="00C37732">
            <w:pPr>
              <w:spacing w:line="240" w:lineRule="auto"/>
              <w:rPr>
                <w:rFonts w:eastAsia="Times New Roman"/>
                <w:b/>
                <w:bCs/>
                <w:color w:val="000000"/>
                <w:sz w:val="18"/>
                <w:szCs w:val="18"/>
                <w:lang w:eastAsia="es-ES"/>
              </w:rPr>
            </w:pPr>
            <w:r>
              <w:rPr>
                <w:rFonts w:eastAsia="Times New Roman"/>
                <w:b/>
                <w:bCs/>
                <w:color w:val="000000"/>
                <w:sz w:val="18"/>
                <w:szCs w:val="18"/>
                <w:lang w:eastAsia="es-ES"/>
              </w:rPr>
              <w:t xml:space="preserve">2. </w:t>
            </w:r>
            <w:r w:rsidRPr="00D91B31">
              <w:rPr>
                <w:rFonts w:eastAsia="Times New Roman"/>
                <w:b/>
                <w:bCs/>
                <w:color w:val="000000"/>
                <w:sz w:val="18"/>
                <w:szCs w:val="18"/>
                <w:lang w:eastAsia="es-ES"/>
              </w:rPr>
              <w:t>Instalaciones portuarias</w:t>
            </w:r>
          </w:p>
          <w:p w14:paraId="641F60C0" w14:textId="77777777" w:rsidR="00C37732" w:rsidRPr="00D91B31" w:rsidRDefault="00C37732" w:rsidP="00C37732">
            <w:pPr>
              <w:spacing w:line="240" w:lineRule="auto"/>
              <w:rPr>
                <w:rFonts w:eastAsia="Times New Roman"/>
                <w:b/>
                <w:bCs/>
                <w:color w:val="000000"/>
                <w:sz w:val="18"/>
                <w:szCs w:val="18"/>
                <w:lang w:eastAsia="es-ES"/>
              </w:rPr>
            </w:pPr>
            <w:r w:rsidRPr="001F2929">
              <w:rPr>
                <w:rFonts w:eastAsia="Times New Roman"/>
                <w:bCs/>
                <w:i/>
                <w:color w:val="000000"/>
                <w:sz w:val="18"/>
                <w:szCs w:val="18"/>
                <w:lang w:eastAsia="es-ES"/>
              </w:rPr>
              <w:t>Factor de ponderación 0,2</w:t>
            </w:r>
            <w:r>
              <w:rPr>
                <w:rFonts w:eastAsia="Times New Roman"/>
                <w:bCs/>
                <w:i/>
                <w:color w:val="000000"/>
                <w:sz w:val="18"/>
                <w:szCs w:val="18"/>
                <w:lang w:eastAsia="es-ES"/>
              </w:rPr>
              <w:t>5</w:t>
            </w:r>
          </w:p>
        </w:tc>
        <w:tc>
          <w:tcPr>
            <w:tcW w:w="970" w:type="pct"/>
            <w:tcBorders>
              <w:top w:val="single" w:sz="4" w:space="0" w:color="auto"/>
              <w:left w:val="nil"/>
              <w:bottom w:val="nil"/>
              <w:right w:val="nil"/>
            </w:tcBorders>
            <w:shd w:val="clear" w:color="auto" w:fill="auto"/>
            <w:vAlign w:val="center"/>
            <w:hideMark/>
          </w:tcPr>
          <w:p w14:paraId="22CF8D14"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Daños constatados (PDA, prensa)</w:t>
            </w:r>
          </w:p>
        </w:tc>
        <w:tc>
          <w:tcPr>
            <w:tcW w:w="522" w:type="pct"/>
            <w:tcBorders>
              <w:top w:val="single" w:sz="4" w:space="0" w:color="auto"/>
              <w:left w:val="nil"/>
              <w:bottom w:val="nil"/>
              <w:right w:val="nil"/>
            </w:tcBorders>
            <w:shd w:val="clear" w:color="auto" w:fill="auto"/>
            <w:vAlign w:val="center"/>
            <w:hideMark/>
          </w:tcPr>
          <w:p w14:paraId="0F63FE40"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0A1DA9C1"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1 x evento</w:t>
            </w:r>
          </w:p>
        </w:tc>
        <w:tc>
          <w:tcPr>
            <w:tcW w:w="828" w:type="pct"/>
            <w:tcBorders>
              <w:top w:val="single" w:sz="4" w:space="0" w:color="auto"/>
              <w:left w:val="nil"/>
              <w:bottom w:val="nil"/>
              <w:right w:val="nil"/>
            </w:tcBorders>
            <w:shd w:val="clear" w:color="auto" w:fill="auto"/>
            <w:vAlign w:val="center"/>
            <w:hideMark/>
          </w:tcPr>
          <w:p w14:paraId="2F06160C"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Nº de comercios, equipamientos</w:t>
            </w:r>
          </w:p>
        </w:tc>
        <w:tc>
          <w:tcPr>
            <w:tcW w:w="1067" w:type="pct"/>
            <w:tcBorders>
              <w:top w:val="single" w:sz="4" w:space="0" w:color="auto"/>
              <w:left w:val="nil"/>
              <w:bottom w:val="nil"/>
              <w:right w:val="nil"/>
            </w:tcBorders>
            <w:shd w:val="clear" w:color="auto" w:fill="auto"/>
            <w:vAlign w:val="center"/>
            <w:hideMark/>
          </w:tcPr>
          <w:p w14:paraId="1788A866"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Asignación según número total de servicios</w:t>
            </w:r>
          </w:p>
        </w:tc>
      </w:tr>
      <w:tr w:rsidR="00C37732" w:rsidRPr="00D91B31" w14:paraId="64F89815" w14:textId="77777777" w:rsidTr="00AE1ADB">
        <w:trPr>
          <w:trHeight w:val="300"/>
        </w:trPr>
        <w:tc>
          <w:tcPr>
            <w:tcW w:w="1614" w:type="pct"/>
            <w:vMerge/>
            <w:tcBorders>
              <w:left w:val="nil"/>
              <w:right w:val="nil"/>
            </w:tcBorders>
            <w:shd w:val="clear" w:color="auto" w:fill="auto"/>
            <w:noWrap/>
            <w:vAlign w:val="center"/>
            <w:hideMark/>
          </w:tcPr>
          <w:p w14:paraId="51CB49CB" w14:textId="77777777" w:rsidR="00C37732" w:rsidRPr="00D91B31" w:rsidRDefault="00C37732" w:rsidP="00C37732">
            <w:pPr>
              <w:spacing w:line="240" w:lineRule="auto"/>
              <w:rPr>
                <w:rFonts w:eastAsia="Times New Roman"/>
                <w:b/>
                <w:bCs/>
                <w:color w:val="000000"/>
                <w:sz w:val="18"/>
                <w:szCs w:val="18"/>
                <w:lang w:eastAsia="es-ES"/>
              </w:rPr>
            </w:pPr>
          </w:p>
        </w:tc>
        <w:tc>
          <w:tcPr>
            <w:tcW w:w="970" w:type="pct"/>
            <w:tcBorders>
              <w:top w:val="nil"/>
              <w:left w:val="nil"/>
              <w:bottom w:val="nil"/>
              <w:right w:val="nil"/>
            </w:tcBorders>
            <w:shd w:val="clear" w:color="auto" w:fill="auto"/>
            <w:vAlign w:val="center"/>
            <w:hideMark/>
          </w:tcPr>
          <w:p w14:paraId="7EDAD406"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Se encuentra en zona inundable (SNCZI)</w:t>
            </w:r>
          </w:p>
        </w:tc>
        <w:tc>
          <w:tcPr>
            <w:tcW w:w="522" w:type="pct"/>
            <w:tcBorders>
              <w:top w:val="nil"/>
              <w:left w:val="nil"/>
              <w:bottom w:val="nil"/>
              <w:right w:val="nil"/>
            </w:tcBorders>
            <w:shd w:val="clear" w:color="auto" w:fill="auto"/>
            <w:vAlign w:val="center"/>
            <w:hideMark/>
          </w:tcPr>
          <w:p w14:paraId="2C04DDDF"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51C078DF"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1 x evento</w:t>
            </w:r>
          </w:p>
        </w:tc>
        <w:tc>
          <w:tcPr>
            <w:tcW w:w="828" w:type="pct"/>
            <w:tcBorders>
              <w:top w:val="nil"/>
              <w:left w:val="nil"/>
              <w:bottom w:val="nil"/>
              <w:right w:val="nil"/>
            </w:tcBorders>
            <w:shd w:val="clear" w:color="auto" w:fill="auto"/>
            <w:vAlign w:val="center"/>
            <w:hideMark/>
          </w:tcPr>
          <w:p w14:paraId="5FE9DA14" w14:textId="77777777" w:rsidR="00C37732" w:rsidRPr="00D91B31" w:rsidRDefault="00C37732" w:rsidP="00C37732">
            <w:pPr>
              <w:spacing w:line="240" w:lineRule="auto"/>
              <w:rPr>
                <w:rFonts w:eastAsia="Times New Roman"/>
                <w:color w:val="000000"/>
                <w:sz w:val="18"/>
                <w:szCs w:val="18"/>
                <w:lang w:eastAsia="es-ES"/>
              </w:rPr>
            </w:pPr>
          </w:p>
        </w:tc>
        <w:tc>
          <w:tcPr>
            <w:tcW w:w="1067" w:type="pct"/>
            <w:tcBorders>
              <w:top w:val="nil"/>
              <w:left w:val="nil"/>
              <w:bottom w:val="nil"/>
              <w:right w:val="nil"/>
            </w:tcBorders>
            <w:shd w:val="clear" w:color="auto" w:fill="auto"/>
            <w:vAlign w:val="center"/>
            <w:hideMark/>
          </w:tcPr>
          <w:p w14:paraId="29600DA7" w14:textId="77777777" w:rsidR="00C37732" w:rsidRPr="00D91B31" w:rsidRDefault="00C37732" w:rsidP="00C37732">
            <w:pPr>
              <w:spacing w:line="240" w:lineRule="auto"/>
              <w:rPr>
                <w:rFonts w:eastAsia="Times New Roman"/>
                <w:color w:val="000000"/>
                <w:sz w:val="18"/>
                <w:szCs w:val="18"/>
                <w:lang w:eastAsia="es-ES"/>
              </w:rPr>
            </w:pPr>
          </w:p>
        </w:tc>
      </w:tr>
      <w:tr w:rsidR="00C37732" w:rsidRPr="00D91B31" w14:paraId="5A8A0D88" w14:textId="77777777" w:rsidTr="00AE1ADB">
        <w:trPr>
          <w:trHeight w:val="300"/>
        </w:trPr>
        <w:tc>
          <w:tcPr>
            <w:tcW w:w="1614" w:type="pct"/>
            <w:vMerge/>
            <w:tcBorders>
              <w:left w:val="nil"/>
              <w:bottom w:val="single" w:sz="4" w:space="0" w:color="auto"/>
              <w:right w:val="nil"/>
            </w:tcBorders>
            <w:shd w:val="clear" w:color="auto" w:fill="auto"/>
            <w:noWrap/>
            <w:vAlign w:val="center"/>
            <w:hideMark/>
          </w:tcPr>
          <w:p w14:paraId="2FEF445B" w14:textId="77777777" w:rsidR="00C37732" w:rsidRPr="00D91B31" w:rsidRDefault="00C37732" w:rsidP="00C37732">
            <w:pPr>
              <w:spacing w:line="240" w:lineRule="auto"/>
              <w:rPr>
                <w:rFonts w:eastAsia="Times New Roman"/>
                <w:b/>
                <w:bCs/>
                <w:color w:val="000000"/>
                <w:sz w:val="18"/>
                <w:szCs w:val="18"/>
                <w:lang w:eastAsia="es-ES"/>
              </w:rPr>
            </w:pPr>
          </w:p>
        </w:tc>
        <w:tc>
          <w:tcPr>
            <w:tcW w:w="970" w:type="pct"/>
            <w:tcBorders>
              <w:top w:val="nil"/>
              <w:left w:val="nil"/>
              <w:bottom w:val="single" w:sz="4" w:space="0" w:color="auto"/>
              <w:right w:val="nil"/>
            </w:tcBorders>
            <w:shd w:val="clear" w:color="auto" w:fill="auto"/>
            <w:vAlign w:val="center"/>
            <w:hideMark/>
          </w:tcPr>
          <w:p w14:paraId="091E3206"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Es desembocadura de cuenca</w:t>
            </w:r>
          </w:p>
        </w:tc>
        <w:tc>
          <w:tcPr>
            <w:tcW w:w="522" w:type="pct"/>
            <w:tcBorders>
              <w:top w:val="nil"/>
              <w:left w:val="nil"/>
              <w:bottom w:val="single" w:sz="4" w:space="0" w:color="auto"/>
              <w:right w:val="nil"/>
            </w:tcBorders>
            <w:shd w:val="clear" w:color="auto" w:fill="auto"/>
            <w:vAlign w:val="center"/>
            <w:hideMark/>
          </w:tcPr>
          <w:p w14:paraId="6671D749"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385CF3D2"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1 x evento</w:t>
            </w:r>
          </w:p>
        </w:tc>
        <w:tc>
          <w:tcPr>
            <w:tcW w:w="828" w:type="pct"/>
            <w:tcBorders>
              <w:top w:val="nil"/>
              <w:left w:val="nil"/>
              <w:bottom w:val="single" w:sz="4" w:space="0" w:color="auto"/>
              <w:right w:val="nil"/>
            </w:tcBorders>
            <w:shd w:val="clear" w:color="auto" w:fill="auto"/>
            <w:vAlign w:val="center"/>
            <w:hideMark/>
          </w:tcPr>
          <w:p w14:paraId="61029322" w14:textId="77777777" w:rsidR="00C37732" w:rsidRPr="00D91B31" w:rsidRDefault="00C37732" w:rsidP="00C37732">
            <w:pPr>
              <w:spacing w:line="240" w:lineRule="auto"/>
              <w:rPr>
                <w:rFonts w:eastAsia="Times New Roman"/>
                <w:color w:val="000000"/>
                <w:sz w:val="18"/>
                <w:szCs w:val="18"/>
                <w:lang w:eastAsia="es-ES"/>
              </w:rPr>
            </w:pPr>
          </w:p>
        </w:tc>
        <w:tc>
          <w:tcPr>
            <w:tcW w:w="1067" w:type="pct"/>
            <w:tcBorders>
              <w:top w:val="nil"/>
              <w:left w:val="nil"/>
              <w:bottom w:val="single" w:sz="4" w:space="0" w:color="auto"/>
              <w:right w:val="nil"/>
            </w:tcBorders>
            <w:shd w:val="clear" w:color="auto" w:fill="auto"/>
            <w:vAlign w:val="center"/>
            <w:hideMark/>
          </w:tcPr>
          <w:p w14:paraId="3AD36302" w14:textId="77777777" w:rsidR="00C37732" w:rsidRPr="00D91B31" w:rsidRDefault="00C37732" w:rsidP="00C37732">
            <w:pPr>
              <w:spacing w:line="240" w:lineRule="auto"/>
              <w:rPr>
                <w:rFonts w:eastAsia="Times New Roman"/>
                <w:color w:val="000000"/>
                <w:sz w:val="18"/>
                <w:szCs w:val="18"/>
                <w:lang w:eastAsia="es-ES"/>
              </w:rPr>
            </w:pPr>
          </w:p>
        </w:tc>
      </w:tr>
      <w:tr w:rsidR="00C37732" w:rsidRPr="00D91B31" w14:paraId="2900DECA" w14:textId="77777777" w:rsidTr="00AE1ADB">
        <w:trPr>
          <w:trHeight w:val="600"/>
        </w:trPr>
        <w:tc>
          <w:tcPr>
            <w:tcW w:w="1614" w:type="pct"/>
            <w:vMerge w:val="restart"/>
            <w:tcBorders>
              <w:top w:val="single" w:sz="4" w:space="0" w:color="auto"/>
              <w:left w:val="nil"/>
              <w:right w:val="nil"/>
            </w:tcBorders>
            <w:shd w:val="clear" w:color="auto" w:fill="auto"/>
            <w:vAlign w:val="center"/>
            <w:hideMark/>
          </w:tcPr>
          <w:p w14:paraId="7D35F105" w14:textId="77777777" w:rsidR="00C37732" w:rsidRDefault="00C37732" w:rsidP="00C37732">
            <w:pPr>
              <w:spacing w:line="240" w:lineRule="auto"/>
              <w:rPr>
                <w:rFonts w:eastAsia="Times New Roman"/>
                <w:bCs/>
                <w:color w:val="000000"/>
                <w:sz w:val="18"/>
                <w:szCs w:val="18"/>
                <w:lang w:eastAsia="es-ES"/>
              </w:rPr>
            </w:pPr>
            <w:r>
              <w:rPr>
                <w:rFonts w:eastAsia="Times New Roman"/>
                <w:b/>
                <w:bCs/>
                <w:color w:val="000000"/>
                <w:sz w:val="18"/>
                <w:szCs w:val="18"/>
                <w:lang w:eastAsia="es-ES"/>
              </w:rPr>
              <w:t xml:space="preserve">3. </w:t>
            </w:r>
            <w:r w:rsidRPr="00D91B31">
              <w:rPr>
                <w:rFonts w:eastAsia="Times New Roman"/>
                <w:b/>
                <w:bCs/>
                <w:color w:val="000000"/>
                <w:sz w:val="18"/>
                <w:szCs w:val="18"/>
                <w:lang w:eastAsia="es-ES"/>
              </w:rPr>
              <w:t xml:space="preserve">Espacios abiertos: </w:t>
            </w:r>
            <w:r>
              <w:rPr>
                <w:rFonts w:eastAsia="Times New Roman"/>
                <w:bCs/>
                <w:color w:val="000000"/>
                <w:sz w:val="18"/>
                <w:szCs w:val="18"/>
                <w:lang w:eastAsia="es-ES"/>
              </w:rPr>
              <w:t>Parques, plazas; parques temáticos; campos de g</w:t>
            </w:r>
            <w:r w:rsidRPr="00D91B31">
              <w:rPr>
                <w:rFonts w:eastAsia="Times New Roman"/>
                <w:bCs/>
                <w:color w:val="000000"/>
                <w:sz w:val="18"/>
                <w:szCs w:val="18"/>
                <w:lang w:eastAsia="es-ES"/>
              </w:rPr>
              <w:t xml:space="preserve">olf; </w:t>
            </w:r>
            <w:r>
              <w:rPr>
                <w:rFonts w:eastAsia="Times New Roman"/>
                <w:bCs/>
                <w:color w:val="000000"/>
                <w:sz w:val="18"/>
                <w:szCs w:val="18"/>
                <w:lang w:eastAsia="es-ES"/>
              </w:rPr>
              <w:t>i</w:t>
            </w:r>
            <w:r w:rsidRPr="00D91B31">
              <w:rPr>
                <w:rFonts w:eastAsia="Times New Roman"/>
                <w:bCs/>
                <w:color w:val="000000"/>
                <w:sz w:val="18"/>
                <w:szCs w:val="18"/>
                <w:lang w:eastAsia="es-ES"/>
              </w:rPr>
              <w:t>nstalaciones deportivas</w:t>
            </w:r>
          </w:p>
          <w:p w14:paraId="196C4C1F" w14:textId="77777777" w:rsidR="00C37732" w:rsidRPr="00D91B31" w:rsidRDefault="00C37732" w:rsidP="00C37732">
            <w:pPr>
              <w:spacing w:line="240" w:lineRule="auto"/>
              <w:rPr>
                <w:rFonts w:eastAsia="Times New Roman"/>
                <w:b/>
                <w:bCs/>
                <w:color w:val="000000"/>
                <w:sz w:val="18"/>
                <w:szCs w:val="18"/>
                <w:lang w:eastAsia="es-ES"/>
              </w:rPr>
            </w:pPr>
            <w:r w:rsidRPr="001F2929">
              <w:rPr>
                <w:rFonts w:eastAsia="Times New Roman"/>
                <w:bCs/>
                <w:i/>
                <w:color w:val="000000"/>
                <w:sz w:val="18"/>
                <w:szCs w:val="18"/>
                <w:lang w:eastAsia="es-ES"/>
              </w:rPr>
              <w:t>Factor de ponderación 0,25</w:t>
            </w:r>
          </w:p>
        </w:tc>
        <w:tc>
          <w:tcPr>
            <w:tcW w:w="970" w:type="pct"/>
            <w:tcBorders>
              <w:top w:val="single" w:sz="4" w:space="0" w:color="auto"/>
              <w:left w:val="nil"/>
              <w:bottom w:val="nil"/>
              <w:right w:val="nil"/>
            </w:tcBorders>
            <w:shd w:val="clear" w:color="auto" w:fill="auto"/>
            <w:vAlign w:val="center"/>
            <w:hideMark/>
          </w:tcPr>
          <w:p w14:paraId="6AB10C1D"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Daños constatados (PDA, prensa)</w:t>
            </w:r>
          </w:p>
        </w:tc>
        <w:tc>
          <w:tcPr>
            <w:tcW w:w="522" w:type="pct"/>
            <w:tcBorders>
              <w:top w:val="single" w:sz="4" w:space="0" w:color="auto"/>
              <w:left w:val="nil"/>
              <w:bottom w:val="nil"/>
              <w:right w:val="nil"/>
            </w:tcBorders>
            <w:shd w:val="clear" w:color="auto" w:fill="auto"/>
            <w:noWrap/>
            <w:vAlign w:val="center"/>
            <w:hideMark/>
          </w:tcPr>
          <w:p w14:paraId="252A9FFC"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6F484C27"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1 x evento</w:t>
            </w:r>
          </w:p>
        </w:tc>
        <w:tc>
          <w:tcPr>
            <w:tcW w:w="828" w:type="pct"/>
            <w:tcBorders>
              <w:top w:val="single" w:sz="4" w:space="0" w:color="auto"/>
              <w:left w:val="nil"/>
              <w:bottom w:val="nil"/>
              <w:right w:val="nil"/>
            </w:tcBorders>
            <w:shd w:val="clear" w:color="auto" w:fill="auto"/>
            <w:noWrap/>
            <w:vAlign w:val="center"/>
            <w:hideMark/>
          </w:tcPr>
          <w:p w14:paraId="439E6A8E"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Aforo</w:t>
            </w:r>
          </w:p>
        </w:tc>
        <w:tc>
          <w:tcPr>
            <w:tcW w:w="1067" w:type="pct"/>
            <w:tcBorders>
              <w:top w:val="single" w:sz="4" w:space="0" w:color="auto"/>
              <w:left w:val="nil"/>
              <w:bottom w:val="nil"/>
              <w:right w:val="nil"/>
            </w:tcBorders>
            <w:shd w:val="clear" w:color="auto" w:fill="auto"/>
            <w:noWrap/>
            <w:vAlign w:val="center"/>
            <w:hideMark/>
          </w:tcPr>
          <w:p w14:paraId="2F6AA320"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 xml:space="preserve">Asignación según superficie </w:t>
            </w:r>
          </w:p>
        </w:tc>
      </w:tr>
      <w:tr w:rsidR="00C37732" w:rsidRPr="00D91B31" w14:paraId="38FDC091" w14:textId="77777777" w:rsidTr="00AE1ADB">
        <w:trPr>
          <w:trHeight w:val="300"/>
        </w:trPr>
        <w:tc>
          <w:tcPr>
            <w:tcW w:w="1614" w:type="pct"/>
            <w:vMerge/>
            <w:tcBorders>
              <w:left w:val="nil"/>
              <w:right w:val="nil"/>
            </w:tcBorders>
            <w:shd w:val="clear" w:color="auto" w:fill="auto"/>
            <w:noWrap/>
            <w:vAlign w:val="center"/>
            <w:hideMark/>
          </w:tcPr>
          <w:p w14:paraId="216FAEE5" w14:textId="77777777" w:rsidR="00C37732" w:rsidRPr="00D91B31" w:rsidRDefault="00C37732" w:rsidP="00C37732">
            <w:pPr>
              <w:spacing w:line="240" w:lineRule="auto"/>
              <w:rPr>
                <w:rFonts w:eastAsia="Times New Roman"/>
                <w:b/>
                <w:bCs/>
                <w:color w:val="000000"/>
                <w:sz w:val="18"/>
                <w:szCs w:val="18"/>
                <w:lang w:eastAsia="es-ES"/>
              </w:rPr>
            </w:pPr>
          </w:p>
        </w:tc>
        <w:tc>
          <w:tcPr>
            <w:tcW w:w="970" w:type="pct"/>
            <w:tcBorders>
              <w:top w:val="nil"/>
              <w:left w:val="nil"/>
              <w:bottom w:val="nil"/>
              <w:right w:val="nil"/>
            </w:tcBorders>
            <w:shd w:val="clear" w:color="auto" w:fill="auto"/>
            <w:vAlign w:val="center"/>
            <w:hideMark/>
          </w:tcPr>
          <w:p w14:paraId="549553EB"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Se encuentra en zona inundable (SNCZI)</w:t>
            </w:r>
          </w:p>
        </w:tc>
        <w:tc>
          <w:tcPr>
            <w:tcW w:w="522" w:type="pct"/>
            <w:tcBorders>
              <w:top w:val="nil"/>
              <w:left w:val="nil"/>
              <w:bottom w:val="nil"/>
              <w:right w:val="nil"/>
            </w:tcBorders>
            <w:shd w:val="clear" w:color="auto" w:fill="auto"/>
            <w:noWrap/>
            <w:vAlign w:val="center"/>
            <w:hideMark/>
          </w:tcPr>
          <w:p w14:paraId="7FC13835"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3296414A"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1 x evento</w:t>
            </w:r>
          </w:p>
        </w:tc>
        <w:tc>
          <w:tcPr>
            <w:tcW w:w="828" w:type="pct"/>
            <w:tcBorders>
              <w:top w:val="nil"/>
              <w:left w:val="nil"/>
              <w:bottom w:val="nil"/>
              <w:right w:val="nil"/>
            </w:tcBorders>
            <w:shd w:val="clear" w:color="auto" w:fill="auto"/>
            <w:noWrap/>
            <w:vAlign w:val="center"/>
            <w:hideMark/>
          </w:tcPr>
          <w:p w14:paraId="49538D6C" w14:textId="77777777" w:rsidR="00C37732" w:rsidRPr="00D91B31" w:rsidRDefault="00C37732" w:rsidP="00C37732">
            <w:pPr>
              <w:spacing w:line="240" w:lineRule="auto"/>
              <w:rPr>
                <w:rFonts w:eastAsia="Times New Roman"/>
                <w:color w:val="000000"/>
                <w:sz w:val="18"/>
                <w:szCs w:val="18"/>
                <w:lang w:eastAsia="es-ES"/>
              </w:rPr>
            </w:pPr>
          </w:p>
        </w:tc>
        <w:tc>
          <w:tcPr>
            <w:tcW w:w="1067" w:type="pct"/>
            <w:tcBorders>
              <w:top w:val="nil"/>
              <w:left w:val="nil"/>
              <w:bottom w:val="nil"/>
              <w:right w:val="nil"/>
            </w:tcBorders>
            <w:shd w:val="clear" w:color="auto" w:fill="auto"/>
            <w:noWrap/>
            <w:vAlign w:val="center"/>
            <w:hideMark/>
          </w:tcPr>
          <w:p w14:paraId="25654466" w14:textId="77777777" w:rsidR="00C37732" w:rsidRPr="00D91B31" w:rsidRDefault="00C37732" w:rsidP="00C37732">
            <w:pPr>
              <w:spacing w:line="240" w:lineRule="auto"/>
              <w:rPr>
                <w:rFonts w:eastAsia="Times New Roman"/>
                <w:color w:val="000000"/>
                <w:sz w:val="18"/>
                <w:szCs w:val="18"/>
                <w:lang w:eastAsia="es-ES"/>
              </w:rPr>
            </w:pPr>
          </w:p>
        </w:tc>
      </w:tr>
      <w:tr w:rsidR="00C37732" w:rsidRPr="00D91B31" w14:paraId="254155AE" w14:textId="77777777" w:rsidTr="00AE1ADB">
        <w:trPr>
          <w:trHeight w:val="300"/>
        </w:trPr>
        <w:tc>
          <w:tcPr>
            <w:tcW w:w="1614" w:type="pct"/>
            <w:vMerge/>
            <w:tcBorders>
              <w:left w:val="nil"/>
              <w:right w:val="nil"/>
            </w:tcBorders>
            <w:shd w:val="clear" w:color="auto" w:fill="auto"/>
            <w:noWrap/>
            <w:vAlign w:val="center"/>
            <w:hideMark/>
          </w:tcPr>
          <w:p w14:paraId="79D14766" w14:textId="77777777" w:rsidR="00C37732" w:rsidRPr="00D91B31" w:rsidRDefault="00C37732" w:rsidP="00C37732">
            <w:pPr>
              <w:spacing w:line="240" w:lineRule="auto"/>
              <w:rPr>
                <w:rFonts w:eastAsia="Times New Roman"/>
                <w:b/>
                <w:bCs/>
                <w:color w:val="000000"/>
                <w:sz w:val="18"/>
                <w:szCs w:val="18"/>
                <w:lang w:eastAsia="es-ES"/>
              </w:rPr>
            </w:pPr>
          </w:p>
        </w:tc>
        <w:tc>
          <w:tcPr>
            <w:tcW w:w="970" w:type="pct"/>
            <w:tcBorders>
              <w:top w:val="nil"/>
              <w:left w:val="nil"/>
              <w:bottom w:val="nil"/>
              <w:right w:val="nil"/>
            </w:tcBorders>
            <w:shd w:val="clear" w:color="auto" w:fill="auto"/>
            <w:vAlign w:val="center"/>
            <w:hideMark/>
          </w:tcPr>
          <w:p w14:paraId="6CAD1441"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Es cruzada por cauce</w:t>
            </w:r>
          </w:p>
        </w:tc>
        <w:tc>
          <w:tcPr>
            <w:tcW w:w="522" w:type="pct"/>
            <w:tcBorders>
              <w:top w:val="nil"/>
              <w:left w:val="nil"/>
              <w:bottom w:val="nil"/>
              <w:right w:val="nil"/>
            </w:tcBorders>
            <w:shd w:val="clear" w:color="auto" w:fill="auto"/>
            <w:noWrap/>
            <w:vAlign w:val="center"/>
            <w:hideMark/>
          </w:tcPr>
          <w:p w14:paraId="46EEF9B9"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58EF0EA3"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1 x evento</w:t>
            </w:r>
          </w:p>
        </w:tc>
        <w:tc>
          <w:tcPr>
            <w:tcW w:w="828" w:type="pct"/>
            <w:tcBorders>
              <w:top w:val="nil"/>
              <w:left w:val="nil"/>
              <w:bottom w:val="nil"/>
              <w:right w:val="nil"/>
            </w:tcBorders>
            <w:shd w:val="clear" w:color="auto" w:fill="auto"/>
            <w:noWrap/>
            <w:vAlign w:val="center"/>
            <w:hideMark/>
          </w:tcPr>
          <w:p w14:paraId="66117AA6" w14:textId="77777777" w:rsidR="00C37732" w:rsidRPr="00D91B31" w:rsidRDefault="00C37732" w:rsidP="00C37732">
            <w:pPr>
              <w:spacing w:line="240" w:lineRule="auto"/>
              <w:rPr>
                <w:rFonts w:eastAsia="Times New Roman"/>
                <w:color w:val="000000"/>
                <w:sz w:val="18"/>
                <w:szCs w:val="18"/>
                <w:lang w:eastAsia="es-ES"/>
              </w:rPr>
            </w:pPr>
          </w:p>
        </w:tc>
        <w:tc>
          <w:tcPr>
            <w:tcW w:w="1067" w:type="pct"/>
            <w:tcBorders>
              <w:top w:val="nil"/>
              <w:left w:val="nil"/>
              <w:bottom w:val="nil"/>
              <w:right w:val="nil"/>
            </w:tcBorders>
            <w:shd w:val="clear" w:color="auto" w:fill="auto"/>
            <w:noWrap/>
            <w:vAlign w:val="center"/>
            <w:hideMark/>
          </w:tcPr>
          <w:p w14:paraId="479B20AD" w14:textId="77777777" w:rsidR="00C37732" w:rsidRPr="00D91B31" w:rsidRDefault="00C37732" w:rsidP="00C37732">
            <w:pPr>
              <w:spacing w:line="240" w:lineRule="auto"/>
              <w:rPr>
                <w:rFonts w:eastAsia="Times New Roman"/>
                <w:color w:val="000000"/>
                <w:sz w:val="18"/>
                <w:szCs w:val="18"/>
                <w:lang w:eastAsia="es-ES"/>
              </w:rPr>
            </w:pPr>
          </w:p>
        </w:tc>
      </w:tr>
      <w:tr w:rsidR="00C37732" w:rsidRPr="00D91B31" w14:paraId="05AFA8B3" w14:textId="77777777" w:rsidTr="00AE1ADB">
        <w:trPr>
          <w:trHeight w:val="300"/>
        </w:trPr>
        <w:tc>
          <w:tcPr>
            <w:tcW w:w="1614" w:type="pct"/>
            <w:vMerge/>
            <w:tcBorders>
              <w:left w:val="nil"/>
              <w:bottom w:val="single" w:sz="4" w:space="0" w:color="auto"/>
              <w:right w:val="nil"/>
            </w:tcBorders>
            <w:shd w:val="clear" w:color="auto" w:fill="auto"/>
            <w:noWrap/>
            <w:vAlign w:val="center"/>
            <w:hideMark/>
          </w:tcPr>
          <w:p w14:paraId="5680BCF7" w14:textId="77777777" w:rsidR="00C37732" w:rsidRPr="00D91B31" w:rsidRDefault="00C37732" w:rsidP="00C37732">
            <w:pPr>
              <w:spacing w:line="240" w:lineRule="auto"/>
              <w:rPr>
                <w:rFonts w:eastAsia="Times New Roman"/>
                <w:b/>
                <w:bCs/>
                <w:color w:val="000000"/>
                <w:sz w:val="18"/>
                <w:szCs w:val="18"/>
                <w:lang w:eastAsia="es-ES"/>
              </w:rPr>
            </w:pPr>
          </w:p>
        </w:tc>
        <w:tc>
          <w:tcPr>
            <w:tcW w:w="970" w:type="pct"/>
            <w:tcBorders>
              <w:top w:val="nil"/>
              <w:left w:val="nil"/>
              <w:bottom w:val="single" w:sz="4" w:space="0" w:color="auto"/>
              <w:right w:val="nil"/>
            </w:tcBorders>
            <w:shd w:val="clear" w:color="auto" w:fill="auto"/>
            <w:noWrap/>
            <w:vAlign w:val="center"/>
            <w:hideMark/>
          </w:tcPr>
          <w:p w14:paraId="23DE37E2"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Pendiente media</w:t>
            </w:r>
          </w:p>
        </w:tc>
        <w:tc>
          <w:tcPr>
            <w:tcW w:w="522" w:type="pct"/>
            <w:tcBorders>
              <w:top w:val="nil"/>
              <w:left w:val="nil"/>
              <w:bottom w:val="single" w:sz="4" w:space="0" w:color="auto"/>
              <w:right w:val="nil"/>
            </w:tcBorders>
            <w:shd w:val="clear" w:color="auto" w:fill="auto"/>
            <w:noWrap/>
            <w:vAlign w:val="center"/>
            <w:hideMark/>
          </w:tcPr>
          <w:p w14:paraId="1F129F03"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&lt;10°=0,</w:t>
            </w:r>
          </w:p>
          <w:p w14:paraId="286AFBA0"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 xml:space="preserve"> 10°-15°=0,25 </w:t>
            </w:r>
          </w:p>
          <w:p w14:paraId="2B43F22F" w14:textId="77777777" w:rsidR="00C37732" w:rsidRPr="00881652" w:rsidRDefault="00C37732" w:rsidP="00C37732">
            <w:pPr>
              <w:spacing w:line="240" w:lineRule="auto"/>
              <w:rPr>
                <w:rFonts w:eastAsia="Times New Roman"/>
                <w:color w:val="000000"/>
                <w:sz w:val="13"/>
                <w:szCs w:val="13"/>
                <w:lang w:eastAsia="es-ES"/>
              </w:rPr>
            </w:pPr>
            <w:r>
              <w:rPr>
                <w:rFonts w:eastAsia="Times New Roman"/>
                <w:color w:val="000000"/>
                <w:sz w:val="13"/>
                <w:szCs w:val="13"/>
                <w:lang w:eastAsia="es-ES"/>
              </w:rPr>
              <w:t>15°-30°=0,50</w:t>
            </w:r>
          </w:p>
          <w:p w14:paraId="68AEAC5F" w14:textId="77777777" w:rsidR="00C37732" w:rsidRPr="00D91B31" w:rsidRDefault="00C37732" w:rsidP="00C37732">
            <w:pPr>
              <w:spacing w:line="240" w:lineRule="auto"/>
              <w:rPr>
                <w:rFonts w:eastAsia="Times New Roman"/>
                <w:color w:val="000000"/>
                <w:sz w:val="16"/>
                <w:szCs w:val="18"/>
                <w:lang w:eastAsia="es-ES"/>
              </w:rPr>
            </w:pPr>
            <w:r w:rsidRPr="00881652">
              <w:rPr>
                <w:rFonts w:eastAsia="Times New Roman"/>
                <w:color w:val="000000"/>
                <w:sz w:val="13"/>
                <w:szCs w:val="13"/>
                <w:lang w:eastAsia="es-ES"/>
              </w:rPr>
              <w:t>30°-45°=0,75 &gt;45°=1</w:t>
            </w:r>
          </w:p>
        </w:tc>
        <w:tc>
          <w:tcPr>
            <w:tcW w:w="828" w:type="pct"/>
            <w:tcBorders>
              <w:top w:val="nil"/>
              <w:left w:val="nil"/>
              <w:bottom w:val="single" w:sz="4" w:space="0" w:color="auto"/>
              <w:right w:val="nil"/>
            </w:tcBorders>
            <w:shd w:val="clear" w:color="auto" w:fill="auto"/>
            <w:noWrap/>
            <w:vAlign w:val="center"/>
            <w:hideMark/>
          </w:tcPr>
          <w:p w14:paraId="1017944D" w14:textId="77777777" w:rsidR="00C37732" w:rsidRPr="00D91B31" w:rsidRDefault="00C37732" w:rsidP="00C37732">
            <w:pPr>
              <w:spacing w:line="240" w:lineRule="auto"/>
              <w:rPr>
                <w:rFonts w:eastAsia="Times New Roman"/>
                <w:color w:val="000000"/>
                <w:sz w:val="18"/>
                <w:szCs w:val="18"/>
                <w:lang w:eastAsia="es-ES"/>
              </w:rPr>
            </w:pPr>
          </w:p>
        </w:tc>
        <w:tc>
          <w:tcPr>
            <w:tcW w:w="1067" w:type="pct"/>
            <w:tcBorders>
              <w:top w:val="nil"/>
              <w:left w:val="nil"/>
              <w:bottom w:val="single" w:sz="4" w:space="0" w:color="auto"/>
              <w:right w:val="nil"/>
            </w:tcBorders>
            <w:shd w:val="clear" w:color="auto" w:fill="auto"/>
            <w:noWrap/>
            <w:vAlign w:val="center"/>
            <w:hideMark/>
          </w:tcPr>
          <w:p w14:paraId="73A11500" w14:textId="77777777" w:rsidR="00C37732" w:rsidRPr="00D91B31" w:rsidRDefault="00C37732" w:rsidP="00C37732">
            <w:pPr>
              <w:spacing w:line="240" w:lineRule="auto"/>
              <w:rPr>
                <w:rFonts w:eastAsia="Times New Roman"/>
                <w:color w:val="000000"/>
                <w:sz w:val="18"/>
                <w:szCs w:val="18"/>
                <w:lang w:eastAsia="es-ES"/>
              </w:rPr>
            </w:pPr>
          </w:p>
        </w:tc>
      </w:tr>
      <w:tr w:rsidR="00C37732" w:rsidRPr="00D91B31" w14:paraId="1B2B26C1" w14:textId="77777777" w:rsidTr="00AE1ADB">
        <w:trPr>
          <w:trHeight w:val="300"/>
        </w:trPr>
        <w:tc>
          <w:tcPr>
            <w:tcW w:w="1614" w:type="pct"/>
            <w:vMerge w:val="restart"/>
            <w:tcBorders>
              <w:top w:val="single" w:sz="4" w:space="0" w:color="auto"/>
              <w:left w:val="nil"/>
              <w:right w:val="nil"/>
            </w:tcBorders>
            <w:shd w:val="clear" w:color="auto" w:fill="auto"/>
            <w:noWrap/>
            <w:vAlign w:val="center"/>
            <w:hideMark/>
          </w:tcPr>
          <w:p w14:paraId="3EE78CB5" w14:textId="77777777" w:rsidR="00C37732" w:rsidRDefault="00C37732" w:rsidP="00C37732">
            <w:pPr>
              <w:spacing w:line="240" w:lineRule="auto"/>
              <w:rPr>
                <w:rFonts w:eastAsia="Times New Roman"/>
                <w:b/>
                <w:bCs/>
                <w:color w:val="000000"/>
                <w:sz w:val="18"/>
                <w:szCs w:val="18"/>
                <w:lang w:eastAsia="es-ES"/>
              </w:rPr>
            </w:pPr>
            <w:r>
              <w:rPr>
                <w:rFonts w:eastAsia="Times New Roman"/>
                <w:b/>
                <w:bCs/>
                <w:color w:val="000000"/>
                <w:sz w:val="18"/>
                <w:szCs w:val="18"/>
                <w:lang w:eastAsia="es-ES"/>
              </w:rPr>
              <w:t xml:space="preserve">4. </w:t>
            </w:r>
            <w:r w:rsidRPr="00D91B31">
              <w:rPr>
                <w:rFonts w:eastAsia="Times New Roman"/>
                <w:b/>
                <w:bCs/>
                <w:color w:val="000000"/>
                <w:sz w:val="18"/>
                <w:szCs w:val="18"/>
                <w:lang w:eastAsia="es-ES"/>
              </w:rPr>
              <w:t>Edificaciones residenciales</w:t>
            </w:r>
          </w:p>
          <w:p w14:paraId="540DBFA3" w14:textId="77777777" w:rsidR="00C37732" w:rsidRPr="00D91B31" w:rsidRDefault="00C37732" w:rsidP="00C37732">
            <w:pPr>
              <w:spacing w:line="240" w:lineRule="auto"/>
              <w:rPr>
                <w:rFonts w:eastAsia="Times New Roman"/>
                <w:b/>
                <w:bCs/>
                <w:color w:val="000000"/>
                <w:sz w:val="18"/>
                <w:szCs w:val="18"/>
                <w:lang w:eastAsia="es-ES"/>
              </w:rPr>
            </w:pPr>
            <w:r w:rsidRPr="001F2929">
              <w:rPr>
                <w:rFonts w:eastAsia="Times New Roman"/>
                <w:bCs/>
                <w:i/>
                <w:color w:val="000000"/>
                <w:sz w:val="18"/>
                <w:szCs w:val="18"/>
                <w:lang w:eastAsia="es-ES"/>
              </w:rPr>
              <w:t>Factor de ponderación 0,</w:t>
            </w:r>
            <w:r>
              <w:rPr>
                <w:rFonts w:eastAsia="Times New Roman"/>
                <w:bCs/>
                <w:i/>
                <w:color w:val="000000"/>
                <w:sz w:val="18"/>
                <w:szCs w:val="18"/>
                <w:lang w:eastAsia="es-ES"/>
              </w:rPr>
              <w:t>50</w:t>
            </w:r>
          </w:p>
        </w:tc>
        <w:tc>
          <w:tcPr>
            <w:tcW w:w="970" w:type="pct"/>
            <w:tcBorders>
              <w:top w:val="single" w:sz="4" w:space="0" w:color="auto"/>
              <w:left w:val="nil"/>
              <w:bottom w:val="nil"/>
              <w:right w:val="nil"/>
            </w:tcBorders>
            <w:shd w:val="clear" w:color="auto" w:fill="auto"/>
            <w:vAlign w:val="center"/>
            <w:hideMark/>
          </w:tcPr>
          <w:p w14:paraId="2E7DBFC9"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Daños constatados (PDA, prensa)</w:t>
            </w:r>
          </w:p>
        </w:tc>
        <w:tc>
          <w:tcPr>
            <w:tcW w:w="522" w:type="pct"/>
            <w:tcBorders>
              <w:top w:val="single" w:sz="4" w:space="0" w:color="auto"/>
              <w:left w:val="nil"/>
              <w:bottom w:val="nil"/>
              <w:right w:val="nil"/>
            </w:tcBorders>
            <w:shd w:val="clear" w:color="auto" w:fill="auto"/>
            <w:vAlign w:val="center"/>
            <w:hideMark/>
          </w:tcPr>
          <w:p w14:paraId="29334741"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2F415C29"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6"/>
                <w:szCs w:val="18"/>
                <w:lang w:eastAsia="es-ES"/>
              </w:rPr>
              <w:t>1 x evento</w:t>
            </w:r>
          </w:p>
        </w:tc>
        <w:tc>
          <w:tcPr>
            <w:tcW w:w="828" w:type="pct"/>
            <w:tcBorders>
              <w:top w:val="single" w:sz="4" w:space="0" w:color="auto"/>
              <w:left w:val="nil"/>
              <w:bottom w:val="nil"/>
              <w:right w:val="nil"/>
            </w:tcBorders>
            <w:shd w:val="clear" w:color="auto" w:fill="auto"/>
            <w:vAlign w:val="center"/>
            <w:hideMark/>
          </w:tcPr>
          <w:p w14:paraId="797958AC"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Superficie bajo rasante</w:t>
            </w:r>
          </w:p>
        </w:tc>
        <w:tc>
          <w:tcPr>
            <w:tcW w:w="1067" w:type="pct"/>
            <w:tcBorders>
              <w:top w:val="single" w:sz="4" w:space="0" w:color="auto"/>
              <w:left w:val="nil"/>
              <w:bottom w:val="nil"/>
              <w:right w:val="nil"/>
            </w:tcBorders>
            <w:shd w:val="clear" w:color="auto" w:fill="auto"/>
            <w:vAlign w:val="center"/>
            <w:hideMark/>
          </w:tcPr>
          <w:p w14:paraId="3F4BBF23"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0m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w:t>
            </w:r>
          </w:p>
          <w:p w14:paraId="57F076E8"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 xml:space="preserve"> &lt;=50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=0,25</w:t>
            </w:r>
          </w:p>
          <w:p w14:paraId="3F0E9047"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&lt;=150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=0,5</w:t>
            </w:r>
            <w:r>
              <w:rPr>
                <w:rFonts w:eastAsia="Times New Roman"/>
                <w:color w:val="000000"/>
                <w:sz w:val="13"/>
                <w:szCs w:val="13"/>
                <w:lang w:eastAsia="es-ES"/>
              </w:rPr>
              <w:t>0</w:t>
            </w:r>
          </w:p>
          <w:p w14:paraId="2CC1C025"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lastRenderedPageBreak/>
              <w:t xml:space="preserve"> &lt;=1200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 xml:space="preserve">=0,75 </w:t>
            </w:r>
          </w:p>
          <w:p w14:paraId="1FF528CE" w14:textId="77777777" w:rsidR="00C37732" w:rsidRPr="00D91B31" w:rsidRDefault="00C37732" w:rsidP="00C37732">
            <w:pPr>
              <w:spacing w:line="240" w:lineRule="auto"/>
              <w:rPr>
                <w:rFonts w:eastAsia="Times New Roman"/>
                <w:color w:val="000000"/>
                <w:sz w:val="15"/>
                <w:szCs w:val="18"/>
                <w:lang w:eastAsia="es-ES"/>
              </w:rPr>
            </w:pPr>
            <w:r w:rsidRPr="00881652">
              <w:rPr>
                <w:rFonts w:eastAsia="Times New Roman"/>
                <w:color w:val="000000"/>
                <w:sz w:val="13"/>
                <w:szCs w:val="13"/>
                <w:lang w:eastAsia="es-ES"/>
              </w:rPr>
              <w:t>&gt;1200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=1</w:t>
            </w:r>
          </w:p>
        </w:tc>
      </w:tr>
      <w:tr w:rsidR="00C37732" w:rsidRPr="00D91B31" w14:paraId="05C22735" w14:textId="77777777" w:rsidTr="00AE1ADB">
        <w:trPr>
          <w:trHeight w:val="300"/>
        </w:trPr>
        <w:tc>
          <w:tcPr>
            <w:tcW w:w="1614" w:type="pct"/>
            <w:vMerge/>
            <w:tcBorders>
              <w:left w:val="nil"/>
              <w:bottom w:val="single" w:sz="4" w:space="0" w:color="auto"/>
              <w:right w:val="nil"/>
            </w:tcBorders>
            <w:shd w:val="clear" w:color="auto" w:fill="auto"/>
            <w:noWrap/>
            <w:vAlign w:val="center"/>
            <w:hideMark/>
          </w:tcPr>
          <w:p w14:paraId="617A6B44" w14:textId="77777777" w:rsidR="00C37732" w:rsidRPr="00D91B31" w:rsidRDefault="00C37732" w:rsidP="00C37732">
            <w:pPr>
              <w:spacing w:line="240" w:lineRule="auto"/>
              <w:rPr>
                <w:rFonts w:eastAsia="Times New Roman"/>
                <w:color w:val="000000"/>
                <w:sz w:val="18"/>
                <w:szCs w:val="18"/>
                <w:lang w:eastAsia="es-ES"/>
              </w:rPr>
            </w:pPr>
          </w:p>
        </w:tc>
        <w:tc>
          <w:tcPr>
            <w:tcW w:w="970" w:type="pct"/>
            <w:tcBorders>
              <w:top w:val="nil"/>
              <w:left w:val="nil"/>
              <w:bottom w:val="single" w:sz="4" w:space="0" w:color="auto"/>
              <w:right w:val="nil"/>
            </w:tcBorders>
            <w:shd w:val="clear" w:color="auto" w:fill="auto"/>
            <w:vAlign w:val="center"/>
            <w:hideMark/>
          </w:tcPr>
          <w:p w14:paraId="3071EF8A"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Se encuentra en zona inundable (SNCZI)</w:t>
            </w:r>
          </w:p>
        </w:tc>
        <w:tc>
          <w:tcPr>
            <w:tcW w:w="522" w:type="pct"/>
            <w:tcBorders>
              <w:top w:val="nil"/>
              <w:left w:val="nil"/>
              <w:bottom w:val="single" w:sz="4" w:space="0" w:color="auto"/>
              <w:right w:val="nil"/>
            </w:tcBorders>
            <w:shd w:val="clear" w:color="auto" w:fill="auto"/>
            <w:vAlign w:val="center"/>
            <w:hideMark/>
          </w:tcPr>
          <w:p w14:paraId="1DFF40D3"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6466A143"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6"/>
                <w:szCs w:val="18"/>
                <w:lang w:eastAsia="es-ES"/>
              </w:rPr>
              <w:t>1 x evento</w:t>
            </w:r>
          </w:p>
        </w:tc>
        <w:tc>
          <w:tcPr>
            <w:tcW w:w="828" w:type="pct"/>
            <w:tcBorders>
              <w:top w:val="nil"/>
              <w:left w:val="nil"/>
              <w:bottom w:val="single" w:sz="4" w:space="0" w:color="auto"/>
              <w:right w:val="nil"/>
            </w:tcBorders>
            <w:shd w:val="clear" w:color="auto" w:fill="auto"/>
            <w:vAlign w:val="center"/>
            <w:hideMark/>
          </w:tcPr>
          <w:p w14:paraId="50457389"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Nº de comercios, equipamientos</w:t>
            </w:r>
          </w:p>
        </w:tc>
        <w:tc>
          <w:tcPr>
            <w:tcW w:w="1067" w:type="pct"/>
            <w:tcBorders>
              <w:top w:val="nil"/>
              <w:left w:val="nil"/>
              <w:bottom w:val="single" w:sz="4" w:space="0" w:color="auto"/>
              <w:right w:val="nil"/>
            </w:tcBorders>
            <w:shd w:val="clear" w:color="auto" w:fill="auto"/>
            <w:vAlign w:val="center"/>
            <w:hideMark/>
          </w:tcPr>
          <w:p w14:paraId="136E33B3"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Asignación según número total de servicios</w:t>
            </w:r>
          </w:p>
        </w:tc>
      </w:tr>
      <w:tr w:rsidR="00C37732" w:rsidRPr="00D91B31" w14:paraId="28854902" w14:textId="77777777" w:rsidTr="00AE1ADB">
        <w:trPr>
          <w:trHeight w:val="300"/>
        </w:trPr>
        <w:tc>
          <w:tcPr>
            <w:tcW w:w="1614" w:type="pct"/>
            <w:vMerge w:val="restart"/>
            <w:tcBorders>
              <w:top w:val="single" w:sz="4" w:space="0" w:color="auto"/>
              <w:left w:val="nil"/>
              <w:right w:val="nil"/>
            </w:tcBorders>
            <w:shd w:val="clear" w:color="auto" w:fill="auto"/>
            <w:noWrap/>
            <w:vAlign w:val="center"/>
            <w:hideMark/>
          </w:tcPr>
          <w:p w14:paraId="0466D32E" w14:textId="77777777" w:rsidR="00C37732" w:rsidRDefault="00C37732" w:rsidP="00C37732">
            <w:pPr>
              <w:spacing w:line="240" w:lineRule="auto"/>
              <w:rPr>
                <w:rFonts w:eastAsia="Times New Roman"/>
                <w:b/>
                <w:bCs/>
                <w:color w:val="000000"/>
                <w:sz w:val="18"/>
                <w:szCs w:val="18"/>
                <w:lang w:eastAsia="es-ES"/>
              </w:rPr>
            </w:pPr>
            <w:r>
              <w:rPr>
                <w:rFonts w:eastAsia="Times New Roman"/>
                <w:b/>
                <w:bCs/>
                <w:color w:val="000000"/>
                <w:sz w:val="18"/>
                <w:szCs w:val="18"/>
                <w:lang w:eastAsia="es-ES"/>
              </w:rPr>
              <w:t xml:space="preserve">5. </w:t>
            </w:r>
            <w:r w:rsidRPr="00D91B31">
              <w:rPr>
                <w:rFonts w:eastAsia="Times New Roman"/>
                <w:b/>
                <w:bCs/>
                <w:color w:val="000000"/>
                <w:sz w:val="18"/>
                <w:szCs w:val="18"/>
                <w:lang w:eastAsia="es-ES"/>
              </w:rPr>
              <w:t>Edificios de alojamiento turístico</w:t>
            </w:r>
          </w:p>
          <w:p w14:paraId="77C044A7" w14:textId="77777777" w:rsidR="00C37732" w:rsidRPr="00D91B31" w:rsidRDefault="00C37732" w:rsidP="00C37732">
            <w:pPr>
              <w:spacing w:line="240" w:lineRule="auto"/>
              <w:rPr>
                <w:rFonts w:eastAsia="Times New Roman"/>
                <w:b/>
                <w:bCs/>
                <w:color w:val="000000"/>
                <w:sz w:val="18"/>
                <w:szCs w:val="18"/>
                <w:lang w:eastAsia="es-ES"/>
              </w:rPr>
            </w:pPr>
            <w:r w:rsidRPr="001F2929">
              <w:rPr>
                <w:rFonts w:eastAsia="Times New Roman"/>
                <w:bCs/>
                <w:i/>
                <w:color w:val="000000"/>
                <w:sz w:val="18"/>
                <w:szCs w:val="18"/>
                <w:lang w:eastAsia="es-ES"/>
              </w:rPr>
              <w:t>Factor de ponderación 0,</w:t>
            </w:r>
            <w:r>
              <w:rPr>
                <w:rFonts w:eastAsia="Times New Roman"/>
                <w:bCs/>
                <w:i/>
                <w:color w:val="000000"/>
                <w:sz w:val="18"/>
                <w:szCs w:val="18"/>
                <w:lang w:eastAsia="es-ES"/>
              </w:rPr>
              <w:t>75</w:t>
            </w:r>
          </w:p>
        </w:tc>
        <w:tc>
          <w:tcPr>
            <w:tcW w:w="970" w:type="pct"/>
            <w:tcBorders>
              <w:top w:val="single" w:sz="4" w:space="0" w:color="auto"/>
              <w:left w:val="nil"/>
              <w:bottom w:val="nil"/>
              <w:right w:val="nil"/>
            </w:tcBorders>
            <w:shd w:val="clear" w:color="auto" w:fill="auto"/>
            <w:vAlign w:val="center"/>
            <w:hideMark/>
          </w:tcPr>
          <w:p w14:paraId="2616BCAC"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Daños constatados (PDA, prensa)</w:t>
            </w:r>
          </w:p>
        </w:tc>
        <w:tc>
          <w:tcPr>
            <w:tcW w:w="522" w:type="pct"/>
            <w:tcBorders>
              <w:top w:val="single" w:sz="4" w:space="0" w:color="auto"/>
              <w:left w:val="nil"/>
              <w:bottom w:val="nil"/>
              <w:right w:val="nil"/>
            </w:tcBorders>
            <w:shd w:val="clear" w:color="auto" w:fill="auto"/>
            <w:vAlign w:val="center"/>
            <w:hideMark/>
          </w:tcPr>
          <w:p w14:paraId="5150CBA7"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23A1B636"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6"/>
                <w:szCs w:val="18"/>
                <w:lang w:eastAsia="es-ES"/>
              </w:rPr>
              <w:t>1 x evento</w:t>
            </w:r>
          </w:p>
        </w:tc>
        <w:tc>
          <w:tcPr>
            <w:tcW w:w="828" w:type="pct"/>
            <w:tcBorders>
              <w:top w:val="single" w:sz="4" w:space="0" w:color="auto"/>
              <w:left w:val="nil"/>
              <w:bottom w:val="nil"/>
              <w:right w:val="nil"/>
            </w:tcBorders>
            <w:shd w:val="clear" w:color="auto" w:fill="auto"/>
            <w:vAlign w:val="center"/>
            <w:hideMark/>
          </w:tcPr>
          <w:p w14:paraId="0DD808B7"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Superficie bajo rasante</w:t>
            </w:r>
          </w:p>
        </w:tc>
        <w:tc>
          <w:tcPr>
            <w:tcW w:w="1067" w:type="pct"/>
            <w:tcBorders>
              <w:top w:val="single" w:sz="4" w:space="0" w:color="auto"/>
              <w:left w:val="nil"/>
              <w:bottom w:val="nil"/>
              <w:right w:val="nil"/>
            </w:tcBorders>
            <w:shd w:val="clear" w:color="auto" w:fill="auto"/>
            <w:vAlign w:val="center"/>
            <w:hideMark/>
          </w:tcPr>
          <w:p w14:paraId="33D318D1"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0m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w:t>
            </w:r>
          </w:p>
          <w:p w14:paraId="446BD694"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 xml:space="preserve"> &lt;=50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=0,25</w:t>
            </w:r>
          </w:p>
          <w:p w14:paraId="7813BEA2" w14:textId="77777777" w:rsidR="00C37732" w:rsidRPr="00D91B31" w:rsidRDefault="00C37732" w:rsidP="00C37732">
            <w:pPr>
              <w:spacing w:line="240" w:lineRule="auto"/>
              <w:rPr>
                <w:rFonts w:eastAsia="Times New Roman"/>
                <w:color w:val="000000"/>
                <w:sz w:val="15"/>
                <w:szCs w:val="18"/>
                <w:lang w:eastAsia="es-ES"/>
              </w:rPr>
            </w:pPr>
            <w:r w:rsidRPr="00881652">
              <w:rPr>
                <w:rFonts w:eastAsia="Times New Roman"/>
                <w:color w:val="000000"/>
                <w:sz w:val="13"/>
                <w:szCs w:val="13"/>
                <w:lang w:eastAsia="es-ES"/>
              </w:rPr>
              <w:t>&lt;=150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=0,5</w:t>
            </w:r>
            <w:r>
              <w:rPr>
                <w:rFonts w:eastAsia="Times New Roman"/>
                <w:color w:val="000000"/>
                <w:sz w:val="13"/>
                <w:szCs w:val="13"/>
                <w:lang w:eastAsia="es-ES"/>
              </w:rPr>
              <w:t>0</w:t>
            </w:r>
            <w:r w:rsidRPr="00881652">
              <w:rPr>
                <w:rFonts w:eastAsia="Times New Roman"/>
                <w:color w:val="000000"/>
                <w:sz w:val="13"/>
                <w:szCs w:val="13"/>
                <w:lang w:eastAsia="es-ES"/>
              </w:rPr>
              <w:t xml:space="preserve"> &lt;=1200m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=0,75 &gt;1200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=1</w:t>
            </w:r>
          </w:p>
        </w:tc>
      </w:tr>
      <w:tr w:rsidR="00C37732" w:rsidRPr="00D91B31" w14:paraId="3A6FF7CF" w14:textId="77777777" w:rsidTr="00AE1ADB">
        <w:trPr>
          <w:trHeight w:val="300"/>
        </w:trPr>
        <w:tc>
          <w:tcPr>
            <w:tcW w:w="1614" w:type="pct"/>
            <w:vMerge/>
            <w:tcBorders>
              <w:left w:val="nil"/>
              <w:right w:val="nil"/>
            </w:tcBorders>
            <w:shd w:val="clear" w:color="auto" w:fill="auto"/>
            <w:noWrap/>
            <w:vAlign w:val="center"/>
            <w:hideMark/>
          </w:tcPr>
          <w:p w14:paraId="1C4EAAD2" w14:textId="77777777" w:rsidR="00C37732" w:rsidRPr="00D91B31" w:rsidRDefault="00C37732" w:rsidP="00C37732">
            <w:pPr>
              <w:spacing w:line="240" w:lineRule="auto"/>
              <w:rPr>
                <w:rFonts w:eastAsia="Times New Roman"/>
                <w:b/>
                <w:bCs/>
                <w:color w:val="000000"/>
                <w:sz w:val="18"/>
                <w:szCs w:val="18"/>
                <w:lang w:eastAsia="es-ES"/>
              </w:rPr>
            </w:pPr>
          </w:p>
        </w:tc>
        <w:tc>
          <w:tcPr>
            <w:tcW w:w="970" w:type="pct"/>
            <w:tcBorders>
              <w:top w:val="nil"/>
              <w:left w:val="nil"/>
              <w:bottom w:val="nil"/>
              <w:right w:val="nil"/>
            </w:tcBorders>
            <w:shd w:val="clear" w:color="auto" w:fill="auto"/>
            <w:vAlign w:val="center"/>
            <w:hideMark/>
          </w:tcPr>
          <w:p w14:paraId="10FBECA5"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Se encuentra en zona inundable (SNCZI)</w:t>
            </w:r>
          </w:p>
        </w:tc>
        <w:tc>
          <w:tcPr>
            <w:tcW w:w="522" w:type="pct"/>
            <w:tcBorders>
              <w:top w:val="nil"/>
              <w:left w:val="nil"/>
              <w:bottom w:val="nil"/>
              <w:right w:val="nil"/>
            </w:tcBorders>
            <w:shd w:val="clear" w:color="auto" w:fill="auto"/>
            <w:vAlign w:val="center"/>
            <w:hideMark/>
          </w:tcPr>
          <w:p w14:paraId="2BB22BD1"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6D47BB67"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6"/>
                <w:szCs w:val="18"/>
                <w:lang w:eastAsia="es-ES"/>
              </w:rPr>
              <w:t>1 x evento</w:t>
            </w:r>
          </w:p>
        </w:tc>
        <w:tc>
          <w:tcPr>
            <w:tcW w:w="828" w:type="pct"/>
            <w:tcBorders>
              <w:top w:val="nil"/>
              <w:left w:val="nil"/>
              <w:bottom w:val="nil"/>
              <w:right w:val="nil"/>
            </w:tcBorders>
            <w:shd w:val="clear" w:color="auto" w:fill="auto"/>
            <w:vAlign w:val="center"/>
            <w:hideMark/>
          </w:tcPr>
          <w:p w14:paraId="73ED4D62"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Nº de comercios, equipamientos</w:t>
            </w:r>
          </w:p>
        </w:tc>
        <w:tc>
          <w:tcPr>
            <w:tcW w:w="1067" w:type="pct"/>
            <w:tcBorders>
              <w:top w:val="nil"/>
              <w:left w:val="nil"/>
              <w:bottom w:val="nil"/>
              <w:right w:val="nil"/>
            </w:tcBorders>
            <w:shd w:val="clear" w:color="auto" w:fill="auto"/>
            <w:vAlign w:val="center"/>
            <w:hideMark/>
          </w:tcPr>
          <w:p w14:paraId="71BEA940"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Asignación según número total de servicios</w:t>
            </w:r>
          </w:p>
        </w:tc>
      </w:tr>
      <w:tr w:rsidR="00C37732" w:rsidRPr="00D91B31" w14:paraId="26BE962C" w14:textId="77777777" w:rsidTr="00AE1ADB">
        <w:trPr>
          <w:trHeight w:val="300"/>
        </w:trPr>
        <w:tc>
          <w:tcPr>
            <w:tcW w:w="1614" w:type="pct"/>
            <w:vMerge/>
            <w:tcBorders>
              <w:left w:val="nil"/>
              <w:bottom w:val="single" w:sz="4" w:space="0" w:color="auto"/>
              <w:right w:val="nil"/>
            </w:tcBorders>
            <w:shd w:val="clear" w:color="auto" w:fill="auto"/>
            <w:noWrap/>
            <w:vAlign w:val="center"/>
            <w:hideMark/>
          </w:tcPr>
          <w:p w14:paraId="748287E7" w14:textId="77777777" w:rsidR="00C37732" w:rsidRPr="00D91B31" w:rsidRDefault="00C37732" w:rsidP="00C37732">
            <w:pPr>
              <w:spacing w:line="240" w:lineRule="auto"/>
              <w:rPr>
                <w:rFonts w:eastAsia="Times New Roman"/>
                <w:b/>
                <w:bCs/>
                <w:color w:val="000000"/>
                <w:sz w:val="18"/>
                <w:szCs w:val="18"/>
                <w:lang w:eastAsia="es-ES"/>
              </w:rPr>
            </w:pPr>
          </w:p>
        </w:tc>
        <w:tc>
          <w:tcPr>
            <w:tcW w:w="970" w:type="pct"/>
            <w:tcBorders>
              <w:top w:val="nil"/>
              <w:left w:val="nil"/>
              <w:bottom w:val="single" w:sz="4" w:space="0" w:color="auto"/>
              <w:right w:val="nil"/>
            </w:tcBorders>
            <w:shd w:val="clear" w:color="auto" w:fill="auto"/>
            <w:vAlign w:val="center"/>
            <w:hideMark/>
          </w:tcPr>
          <w:p w14:paraId="4EA4A29A"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Pendiente media</w:t>
            </w:r>
          </w:p>
        </w:tc>
        <w:tc>
          <w:tcPr>
            <w:tcW w:w="522" w:type="pct"/>
            <w:tcBorders>
              <w:top w:val="nil"/>
              <w:left w:val="nil"/>
              <w:bottom w:val="single" w:sz="4" w:space="0" w:color="auto"/>
              <w:right w:val="nil"/>
            </w:tcBorders>
            <w:shd w:val="clear" w:color="auto" w:fill="auto"/>
            <w:vAlign w:val="center"/>
            <w:hideMark/>
          </w:tcPr>
          <w:p w14:paraId="1CFEC730"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&lt;10°=0,</w:t>
            </w:r>
          </w:p>
          <w:p w14:paraId="752C3CB9"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 xml:space="preserve">10°-15°=0,25 </w:t>
            </w:r>
          </w:p>
          <w:p w14:paraId="3D227F91"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15°-30°=0,5</w:t>
            </w:r>
            <w:r>
              <w:rPr>
                <w:rFonts w:eastAsia="Times New Roman"/>
                <w:color w:val="000000"/>
                <w:sz w:val="13"/>
                <w:szCs w:val="13"/>
                <w:lang w:eastAsia="es-ES"/>
              </w:rPr>
              <w:t>0</w:t>
            </w:r>
            <w:r w:rsidRPr="00881652">
              <w:rPr>
                <w:rFonts w:eastAsia="Times New Roman"/>
                <w:color w:val="000000"/>
                <w:sz w:val="13"/>
                <w:szCs w:val="13"/>
                <w:lang w:eastAsia="es-ES"/>
              </w:rPr>
              <w:t xml:space="preserve"> </w:t>
            </w:r>
          </w:p>
          <w:p w14:paraId="6F84A8FA"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30°-45°=0,75 &gt;45°=1</w:t>
            </w:r>
          </w:p>
        </w:tc>
        <w:tc>
          <w:tcPr>
            <w:tcW w:w="828" w:type="pct"/>
            <w:tcBorders>
              <w:top w:val="nil"/>
              <w:left w:val="nil"/>
              <w:bottom w:val="single" w:sz="4" w:space="0" w:color="auto"/>
              <w:right w:val="nil"/>
            </w:tcBorders>
            <w:shd w:val="clear" w:color="auto" w:fill="auto"/>
            <w:vAlign w:val="center"/>
            <w:hideMark/>
          </w:tcPr>
          <w:p w14:paraId="4F536DB7"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Plazas de alojamiento</w:t>
            </w:r>
          </w:p>
        </w:tc>
        <w:tc>
          <w:tcPr>
            <w:tcW w:w="1067" w:type="pct"/>
            <w:tcBorders>
              <w:top w:val="nil"/>
              <w:left w:val="nil"/>
              <w:bottom w:val="single" w:sz="4" w:space="0" w:color="auto"/>
              <w:right w:val="nil"/>
            </w:tcBorders>
            <w:shd w:val="clear" w:color="auto" w:fill="auto"/>
            <w:vAlign w:val="center"/>
            <w:hideMark/>
          </w:tcPr>
          <w:p w14:paraId="4EA4D8BA"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&lt;=200 = 0,25</w:t>
            </w:r>
          </w:p>
          <w:p w14:paraId="251B29D8"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&lt;=300= 0,5</w:t>
            </w:r>
            <w:r>
              <w:rPr>
                <w:rFonts w:eastAsia="Times New Roman"/>
                <w:color w:val="000000"/>
                <w:sz w:val="13"/>
                <w:szCs w:val="13"/>
                <w:lang w:eastAsia="es-ES"/>
              </w:rPr>
              <w:t>0</w:t>
            </w:r>
          </w:p>
          <w:p w14:paraId="1E2107E1"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&lt;=500= 0,75</w:t>
            </w:r>
          </w:p>
          <w:p w14:paraId="7438165B" w14:textId="77777777" w:rsidR="00C37732" w:rsidRPr="00D91B31" w:rsidRDefault="00C37732" w:rsidP="00C37732">
            <w:pPr>
              <w:spacing w:line="240" w:lineRule="auto"/>
              <w:rPr>
                <w:rFonts w:eastAsia="Times New Roman"/>
                <w:color w:val="000000"/>
                <w:sz w:val="18"/>
                <w:szCs w:val="18"/>
                <w:lang w:eastAsia="es-ES"/>
              </w:rPr>
            </w:pPr>
            <w:r w:rsidRPr="00881652">
              <w:rPr>
                <w:rFonts w:eastAsia="Times New Roman"/>
                <w:color w:val="000000"/>
                <w:sz w:val="13"/>
                <w:szCs w:val="13"/>
                <w:lang w:eastAsia="es-ES"/>
              </w:rPr>
              <w:t>&gt;500= 1</w:t>
            </w:r>
          </w:p>
        </w:tc>
      </w:tr>
      <w:tr w:rsidR="00C37732" w:rsidRPr="00D91B31" w14:paraId="598E4F91" w14:textId="77777777" w:rsidTr="00AE1ADB">
        <w:trPr>
          <w:trHeight w:val="300"/>
        </w:trPr>
        <w:tc>
          <w:tcPr>
            <w:tcW w:w="1614" w:type="pct"/>
            <w:vMerge w:val="restart"/>
            <w:tcBorders>
              <w:top w:val="single" w:sz="4" w:space="0" w:color="auto"/>
              <w:left w:val="nil"/>
              <w:right w:val="nil"/>
            </w:tcBorders>
            <w:shd w:val="clear" w:color="auto" w:fill="auto"/>
            <w:noWrap/>
            <w:vAlign w:val="center"/>
            <w:hideMark/>
          </w:tcPr>
          <w:p w14:paraId="7893EC39" w14:textId="77777777" w:rsidR="00C37732" w:rsidRDefault="00C37732" w:rsidP="00C37732">
            <w:pPr>
              <w:spacing w:line="240" w:lineRule="auto"/>
              <w:rPr>
                <w:rFonts w:eastAsia="Times New Roman"/>
                <w:b/>
                <w:bCs/>
                <w:color w:val="000000"/>
                <w:sz w:val="18"/>
                <w:szCs w:val="18"/>
                <w:lang w:eastAsia="es-ES"/>
              </w:rPr>
            </w:pPr>
            <w:r>
              <w:rPr>
                <w:rFonts w:eastAsia="Times New Roman"/>
                <w:b/>
                <w:bCs/>
                <w:color w:val="000000"/>
                <w:sz w:val="18"/>
                <w:szCs w:val="18"/>
                <w:lang w:eastAsia="es-ES"/>
              </w:rPr>
              <w:t xml:space="preserve">6. </w:t>
            </w:r>
            <w:r w:rsidRPr="00D91B31">
              <w:rPr>
                <w:rFonts w:eastAsia="Times New Roman"/>
                <w:b/>
                <w:bCs/>
                <w:color w:val="000000"/>
                <w:sz w:val="18"/>
                <w:szCs w:val="18"/>
                <w:lang w:eastAsia="es-ES"/>
              </w:rPr>
              <w:t>Edificaciones comerciales, equipamientos y otras actividades</w:t>
            </w:r>
          </w:p>
          <w:p w14:paraId="5DDA4988" w14:textId="77777777" w:rsidR="00C37732" w:rsidRPr="00D91B31" w:rsidRDefault="00C37732" w:rsidP="00C37732">
            <w:pPr>
              <w:spacing w:line="240" w:lineRule="auto"/>
              <w:rPr>
                <w:rFonts w:eastAsia="Times New Roman"/>
                <w:b/>
                <w:bCs/>
                <w:color w:val="000000"/>
                <w:sz w:val="18"/>
                <w:szCs w:val="18"/>
                <w:lang w:eastAsia="es-ES"/>
              </w:rPr>
            </w:pPr>
            <w:r w:rsidRPr="001F2929">
              <w:rPr>
                <w:rFonts w:eastAsia="Times New Roman"/>
                <w:bCs/>
                <w:i/>
                <w:color w:val="000000"/>
                <w:sz w:val="18"/>
                <w:szCs w:val="18"/>
                <w:lang w:eastAsia="es-ES"/>
              </w:rPr>
              <w:t>Factor de ponderación 0,</w:t>
            </w:r>
            <w:r>
              <w:rPr>
                <w:rFonts w:eastAsia="Times New Roman"/>
                <w:bCs/>
                <w:i/>
                <w:color w:val="000000"/>
                <w:sz w:val="18"/>
                <w:szCs w:val="18"/>
                <w:lang w:eastAsia="es-ES"/>
              </w:rPr>
              <w:t>50</w:t>
            </w:r>
          </w:p>
        </w:tc>
        <w:tc>
          <w:tcPr>
            <w:tcW w:w="970" w:type="pct"/>
            <w:tcBorders>
              <w:top w:val="single" w:sz="4" w:space="0" w:color="auto"/>
              <w:left w:val="nil"/>
              <w:bottom w:val="nil"/>
              <w:right w:val="nil"/>
            </w:tcBorders>
            <w:shd w:val="clear" w:color="auto" w:fill="auto"/>
            <w:vAlign w:val="center"/>
            <w:hideMark/>
          </w:tcPr>
          <w:p w14:paraId="1A43C5F1"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Daños constatados (PDA, prensa)</w:t>
            </w:r>
          </w:p>
        </w:tc>
        <w:tc>
          <w:tcPr>
            <w:tcW w:w="522" w:type="pct"/>
            <w:tcBorders>
              <w:top w:val="single" w:sz="4" w:space="0" w:color="auto"/>
              <w:left w:val="nil"/>
              <w:bottom w:val="nil"/>
              <w:right w:val="nil"/>
            </w:tcBorders>
            <w:shd w:val="clear" w:color="auto" w:fill="auto"/>
            <w:vAlign w:val="center"/>
            <w:hideMark/>
          </w:tcPr>
          <w:p w14:paraId="350D78BB"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60DD7107"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6"/>
                <w:szCs w:val="18"/>
                <w:lang w:eastAsia="es-ES"/>
              </w:rPr>
              <w:t>1 x evento</w:t>
            </w:r>
          </w:p>
        </w:tc>
        <w:tc>
          <w:tcPr>
            <w:tcW w:w="828" w:type="pct"/>
            <w:tcBorders>
              <w:top w:val="single" w:sz="4" w:space="0" w:color="auto"/>
              <w:left w:val="nil"/>
              <w:bottom w:val="nil"/>
              <w:right w:val="nil"/>
            </w:tcBorders>
            <w:shd w:val="clear" w:color="auto" w:fill="auto"/>
            <w:vAlign w:val="center"/>
            <w:hideMark/>
          </w:tcPr>
          <w:p w14:paraId="2A46043E"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Superficie bajo rasante</w:t>
            </w:r>
          </w:p>
        </w:tc>
        <w:tc>
          <w:tcPr>
            <w:tcW w:w="1067" w:type="pct"/>
            <w:tcBorders>
              <w:top w:val="single" w:sz="4" w:space="0" w:color="auto"/>
              <w:left w:val="nil"/>
              <w:bottom w:val="nil"/>
              <w:right w:val="nil"/>
            </w:tcBorders>
            <w:shd w:val="clear" w:color="auto" w:fill="auto"/>
            <w:vAlign w:val="center"/>
            <w:hideMark/>
          </w:tcPr>
          <w:p w14:paraId="5B1D8B2C"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0m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w:t>
            </w:r>
          </w:p>
          <w:p w14:paraId="17711039"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 xml:space="preserve"> &lt;=50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=0,25</w:t>
            </w:r>
          </w:p>
          <w:p w14:paraId="67880A22"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&lt;=150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=0,5</w:t>
            </w:r>
            <w:r>
              <w:rPr>
                <w:rFonts w:eastAsia="Times New Roman"/>
                <w:color w:val="000000"/>
                <w:sz w:val="13"/>
                <w:szCs w:val="13"/>
                <w:lang w:eastAsia="es-ES"/>
              </w:rPr>
              <w:t>0</w:t>
            </w:r>
          </w:p>
          <w:p w14:paraId="68F9B9BA"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 xml:space="preserve"> &lt;=1200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=0,75</w:t>
            </w:r>
          </w:p>
          <w:p w14:paraId="4F570CAE" w14:textId="77777777" w:rsidR="00C37732" w:rsidRPr="00D91B31" w:rsidRDefault="00C37732" w:rsidP="00C37732">
            <w:pPr>
              <w:spacing w:line="240" w:lineRule="auto"/>
              <w:rPr>
                <w:rFonts w:eastAsia="Times New Roman"/>
                <w:color w:val="000000"/>
                <w:sz w:val="15"/>
                <w:szCs w:val="18"/>
                <w:lang w:eastAsia="es-ES"/>
              </w:rPr>
            </w:pPr>
            <w:r w:rsidRPr="00881652">
              <w:rPr>
                <w:rFonts w:eastAsia="Times New Roman"/>
                <w:color w:val="000000"/>
                <w:sz w:val="13"/>
                <w:szCs w:val="13"/>
                <w:lang w:eastAsia="es-ES"/>
              </w:rPr>
              <w:t xml:space="preserve"> &gt;1200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=1</w:t>
            </w:r>
          </w:p>
        </w:tc>
      </w:tr>
      <w:tr w:rsidR="00C37732" w:rsidRPr="00D91B31" w14:paraId="3C4742FC" w14:textId="77777777" w:rsidTr="00AE1ADB">
        <w:trPr>
          <w:trHeight w:val="377"/>
        </w:trPr>
        <w:tc>
          <w:tcPr>
            <w:tcW w:w="1614" w:type="pct"/>
            <w:vMerge/>
            <w:tcBorders>
              <w:left w:val="nil"/>
              <w:right w:val="nil"/>
            </w:tcBorders>
            <w:shd w:val="clear" w:color="auto" w:fill="auto"/>
            <w:noWrap/>
            <w:vAlign w:val="center"/>
            <w:hideMark/>
          </w:tcPr>
          <w:p w14:paraId="438F5E25" w14:textId="77777777" w:rsidR="00C37732" w:rsidRPr="00D91B31" w:rsidRDefault="00C37732" w:rsidP="00C37732">
            <w:pPr>
              <w:spacing w:line="240" w:lineRule="auto"/>
              <w:rPr>
                <w:rFonts w:eastAsia="Times New Roman"/>
                <w:b/>
                <w:bCs/>
                <w:color w:val="000000"/>
                <w:sz w:val="18"/>
                <w:szCs w:val="18"/>
                <w:lang w:eastAsia="es-ES"/>
              </w:rPr>
            </w:pPr>
          </w:p>
        </w:tc>
        <w:tc>
          <w:tcPr>
            <w:tcW w:w="970" w:type="pct"/>
            <w:tcBorders>
              <w:top w:val="nil"/>
              <w:left w:val="nil"/>
              <w:bottom w:val="nil"/>
              <w:right w:val="nil"/>
            </w:tcBorders>
            <w:shd w:val="clear" w:color="auto" w:fill="auto"/>
            <w:vAlign w:val="center"/>
            <w:hideMark/>
          </w:tcPr>
          <w:p w14:paraId="6E1B7D91"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Se encuentra en zona inundable (SNCZI)</w:t>
            </w:r>
          </w:p>
        </w:tc>
        <w:tc>
          <w:tcPr>
            <w:tcW w:w="522" w:type="pct"/>
            <w:tcBorders>
              <w:top w:val="nil"/>
              <w:left w:val="nil"/>
              <w:bottom w:val="nil"/>
              <w:right w:val="nil"/>
            </w:tcBorders>
            <w:shd w:val="clear" w:color="auto" w:fill="auto"/>
            <w:vAlign w:val="center"/>
            <w:hideMark/>
          </w:tcPr>
          <w:p w14:paraId="2FAD127F"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1DAB5E7E"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6"/>
                <w:szCs w:val="18"/>
                <w:lang w:eastAsia="es-ES"/>
              </w:rPr>
              <w:t>1 x evento</w:t>
            </w:r>
          </w:p>
        </w:tc>
        <w:tc>
          <w:tcPr>
            <w:tcW w:w="828" w:type="pct"/>
            <w:tcBorders>
              <w:top w:val="nil"/>
              <w:left w:val="nil"/>
              <w:bottom w:val="nil"/>
              <w:right w:val="nil"/>
            </w:tcBorders>
            <w:shd w:val="clear" w:color="auto" w:fill="auto"/>
            <w:vAlign w:val="center"/>
            <w:hideMark/>
          </w:tcPr>
          <w:p w14:paraId="5254BEC5"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Nº de comercios, equipamientos</w:t>
            </w:r>
          </w:p>
        </w:tc>
        <w:tc>
          <w:tcPr>
            <w:tcW w:w="1067" w:type="pct"/>
            <w:tcBorders>
              <w:top w:val="nil"/>
              <w:left w:val="nil"/>
              <w:bottom w:val="nil"/>
              <w:right w:val="nil"/>
            </w:tcBorders>
            <w:shd w:val="clear" w:color="auto" w:fill="auto"/>
            <w:vAlign w:val="center"/>
            <w:hideMark/>
          </w:tcPr>
          <w:p w14:paraId="182771D9"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Asignación según número total de servicios</w:t>
            </w:r>
          </w:p>
        </w:tc>
      </w:tr>
      <w:tr w:rsidR="00C37732" w:rsidRPr="00D91B31" w14:paraId="2665A1B8" w14:textId="77777777" w:rsidTr="00AE1ADB">
        <w:trPr>
          <w:trHeight w:val="300"/>
        </w:trPr>
        <w:tc>
          <w:tcPr>
            <w:tcW w:w="1614" w:type="pct"/>
            <w:vMerge/>
            <w:tcBorders>
              <w:left w:val="nil"/>
              <w:bottom w:val="single" w:sz="4" w:space="0" w:color="auto"/>
              <w:right w:val="nil"/>
            </w:tcBorders>
            <w:shd w:val="clear" w:color="auto" w:fill="auto"/>
            <w:noWrap/>
            <w:vAlign w:val="center"/>
            <w:hideMark/>
          </w:tcPr>
          <w:p w14:paraId="14E19D62" w14:textId="77777777" w:rsidR="00C37732" w:rsidRPr="00D91B31" w:rsidRDefault="00C37732" w:rsidP="00C37732">
            <w:pPr>
              <w:spacing w:line="240" w:lineRule="auto"/>
              <w:rPr>
                <w:rFonts w:eastAsia="Times New Roman"/>
                <w:b/>
                <w:bCs/>
                <w:color w:val="000000"/>
                <w:sz w:val="18"/>
                <w:szCs w:val="18"/>
                <w:lang w:eastAsia="es-ES"/>
              </w:rPr>
            </w:pPr>
          </w:p>
        </w:tc>
        <w:tc>
          <w:tcPr>
            <w:tcW w:w="970" w:type="pct"/>
            <w:tcBorders>
              <w:top w:val="nil"/>
              <w:left w:val="nil"/>
              <w:bottom w:val="single" w:sz="4" w:space="0" w:color="auto"/>
              <w:right w:val="nil"/>
            </w:tcBorders>
            <w:shd w:val="clear" w:color="auto" w:fill="auto"/>
            <w:vAlign w:val="center"/>
            <w:hideMark/>
          </w:tcPr>
          <w:p w14:paraId="2E5F784B"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Pendiente media</w:t>
            </w:r>
          </w:p>
        </w:tc>
        <w:tc>
          <w:tcPr>
            <w:tcW w:w="522" w:type="pct"/>
            <w:tcBorders>
              <w:top w:val="nil"/>
              <w:left w:val="nil"/>
              <w:bottom w:val="single" w:sz="4" w:space="0" w:color="auto"/>
              <w:right w:val="nil"/>
            </w:tcBorders>
            <w:shd w:val="clear" w:color="auto" w:fill="auto"/>
            <w:vAlign w:val="center"/>
            <w:hideMark/>
          </w:tcPr>
          <w:p w14:paraId="1F9697DC"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&lt;10°=0,</w:t>
            </w:r>
          </w:p>
          <w:p w14:paraId="6F4C98C1"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 xml:space="preserve"> 10°-15°=0,25 </w:t>
            </w:r>
          </w:p>
          <w:p w14:paraId="688D090A"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15°-30°=0,5</w:t>
            </w:r>
            <w:r>
              <w:rPr>
                <w:rFonts w:eastAsia="Times New Roman"/>
                <w:color w:val="000000"/>
                <w:sz w:val="13"/>
                <w:szCs w:val="13"/>
                <w:lang w:eastAsia="es-ES"/>
              </w:rPr>
              <w:t>0</w:t>
            </w:r>
            <w:r w:rsidRPr="00881652">
              <w:rPr>
                <w:rFonts w:eastAsia="Times New Roman"/>
                <w:color w:val="000000"/>
                <w:sz w:val="13"/>
                <w:szCs w:val="13"/>
                <w:lang w:eastAsia="es-ES"/>
              </w:rPr>
              <w:t xml:space="preserve"> </w:t>
            </w:r>
          </w:p>
          <w:p w14:paraId="05A0B840" w14:textId="77777777" w:rsidR="00C37732" w:rsidRPr="00D91B31" w:rsidRDefault="00C37732" w:rsidP="00C37732">
            <w:pPr>
              <w:spacing w:line="240" w:lineRule="auto"/>
              <w:rPr>
                <w:rFonts w:eastAsia="Times New Roman"/>
                <w:color w:val="000000"/>
                <w:sz w:val="18"/>
                <w:szCs w:val="18"/>
                <w:lang w:eastAsia="es-ES"/>
              </w:rPr>
            </w:pPr>
            <w:r w:rsidRPr="00881652">
              <w:rPr>
                <w:rFonts w:eastAsia="Times New Roman"/>
                <w:color w:val="000000"/>
                <w:sz w:val="13"/>
                <w:szCs w:val="13"/>
                <w:lang w:eastAsia="es-ES"/>
              </w:rPr>
              <w:t>30°-45°=0,75 &gt;45°=1</w:t>
            </w:r>
          </w:p>
        </w:tc>
        <w:tc>
          <w:tcPr>
            <w:tcW w:w="828" w:type="pct"/>
            <w:tcBorders>
              <w:top w:val="nil"/>
              <w:left w:val="nil"/>
              <w:bottom w:val="single" w:sz="4" w:space="0" w:color="auto"/>
              <w:right w:val="nil"/>
            </w:tcBorders>
            <w:shd w:val="clear" w:color="auto" w:fill="auto"/>
            <w:vAlign w:val="center"/>
            <w:hideMark/>
          </w:tcPr>
          <w:p w14:paraId="01C92D25" w14:textId="77777777" w:rsidR="00C37732" w:rsidRPr="00D91B31" w:rsidRDefault="00C37732" w:rsidP="00C37732">
            <w:pPr>
              <w:spacing w:line="240" w:lineRule="auto"/>
              <w:rPr>
                <w:rFonts w:eastAsia="Times New Roman"/>
                <w:color w:val="000000"/>
                <w:sz w:val="18"/>
                <w:szCs w:val="18"/>
                <w:lang w:eastAsia="es-ES"/>
              </w:rPr>
            </w:pPr>
          </w:p>
        </w:tc>
        <w:tc>
          <w:tcPr>
            <w:tcW w:w="1067" w:type="pct"/>
            <w:tcBorders>
              <w:top w:val="nil"/>
              <w:left w:val="nil"/>
              <w:bottom w:val="single" w:sz="4" w:space="0" w:color="auto"/>
              <w:right w:val="nil"/>
            </w:tcBorders>
            <w:shd w:val="clear" w:color="auto" w:fill="auto"/>
            <w:vAlign w:val="center"/>
            <w:hideMark/>
          </w:tcPr>
          <w:p w14:paraId="1DD59945" w14:textId="77777777" w:rsidR="00C37732" w:rsidRPr="00D91B31" w:rsidRDefault="00C37732" w:rsidP="00C37732">
            <w:pPr>
              <w:spacing w:line="240" w:lineRule="auto"/>
              <w:rPr>
                <w:rFonts w:eastAsia="Times New Roman"/>
                <w:color w:val="000000"/>
                <w:sz w:val="18"/>
                <w:szCs w:val="18"/>
                <w:lang w:eastAsia="es-ES"/>
              </w:rPr>
            </w:pPr>
          </w:p>
        </w:tc>
      </w:tr>
      <w:tr w:rsidR="00C37732" w:rsidRPr="00D91B31" w14:paraId="693F3022" w14:textId="77777777" w:rsidTr="00AE1ADB">
        <w:trPr>
          <w:trHeight w:val="300"/>
        </w:trPr>
        <w:tc>
          <w:tcPr>
            <w:tcW w:w="1614" w:type="pct"/>
            <w:vMerge w:val="restart"/>
            <w:tcBorders>
              <w:top w:val="single" w:sz="4" w:space="0" w:color="auto"/>
              <w:left w:val="nil"/>
              <w:right w:val="nil"/>
            </w:tcBorders>
            <w:shd w:val="clear" w:color="auto" w:fill="auto"/>
            <w:noWrap/>
            <w:vAlign w:val="center"/>
            <w:hideMark/>
          </w:tcPr>
          <w:p w14:paraId="23F9DC6C" w14:textId="77777777" w:rsidR="00C37732" w:rsidRDefault="00C37732" w:rsidP="00C37732">
            <w:pPr>
              <w:spacing w:line="240" w:lineRule="auto"/>
              <w:rPr>
                <w:rFonts w:eastAsia="Times New Roman"/>
                <w:b/>
                <w:bCs/>
                <w:color w:val="000000"/>
                <w:sz w:val="18"/>
                <w:szCs w:val="18"/>
                <w:lang w:eastAsia="es-ES"/>
              </w:rPr>
            </w:pPr>
            <w:r>
              <w:rPr>
                <w:rFonts w:eastAsia="Times New Roman"/>
                <w:b/>
                <w:bCs/>
                <w:color w:val="000000"/>
                <w:sz w:val="18"/>
                <w:szCs w:val="18"/>
                <w:lang w:eastAsia="es-ES"/>
              </w:rPr>
              <w:t xml:space="preserve">7. </w:t>
            </w:r>
            <w:r w:rsidRPr="00D91B31">
              <w:rPr>
                <w:rFonts w:eastAsia="Times New Roman"/>
                <w:b/>
                <w:bCs/>
                <w:color w:val="000000"/>
                <w:sz w:val="18"/>
                <w:szCs w:val="18"/>
                <w:lang w:eastAsia="es-ES"/>
              </w:rPr>
              <w:t>Colegios y centros de formación</w:t>
            </w:r>
          </w:p>
          <w:p w14:paraId="4389E723" w14:textId="77777777" w:rsidR="00C37732" w:rsidRPr="00D91B31" w:rsidRDefault="00C37732" w:rsidP="00C37732">
            <w:pPr>
              <w:spacing w:line="240" w:lineRule="auto"/>
              <w:rPr>
                <w:rFonts w:eastAsia="Times New Roman"/>
                <w:b/>
                <w:bCs/>
                <w:color w:val="000000"/>
                <w:sz w:val="18"/>
                <w:szCs w:val="18"/>
                <w:lang w:eastAsia="es-ES"/>
              </w:rPr>
            </w:pPr>
            <w:r w:rsidRPr="001F2929">
              <w:rPr>
                <w:rFonts w:eastAsia="Times New Roman"/>
                <w:bCs/>
                <w:i/>
                <w:color w:val="000000"/>
                <w:sz w:val="18"/>
                <w:szCs w:val="18"/>
                <w:lang w:eastAsia="es-ES"/>
              </w:rPr>
              <w:t xml:space="preserve">Factor de ponderación </w:t>
            </w:r>
            <w:r>
              <w:rPr>
                <w:rFonts w:eastAsia="Times New Roman"/>
                <w:bCs/>
                <w:i/>
                <w:color w:val="000000"/>
                <w:sz w:val="18"/>
                <w:szCs w:val="18"/>
                <w:lang w:eastAsia="es-ES"/>
              </w:rPr>
              <w:t>1</w:t>
            </w:r>
          </w:p>
        </w:tc>
        <w:tc>
          <w:tcPr>
            <w:tcW w:w="970" w:type="pct"/>
            <w:tcBorders>
              <w:top w:val="single" w:sz="4" w:space="0" w:color="auto"/>
              <w:left w:val="nil"/>
              <w:bottom w:val="nil"/>
              <w:right w:val="nil"/>
            </w:tcBorders>
            <w:shd w:val="clear" w:color="auto" w:fill="auto"/>
            <w:vAlign w:val="center"/>
            <w:hideMark/>
          </w:tcPr>
          <w:p w14:paraId="1C7503A2"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Daños constatados (PDA, prensa)</w:t>
            </w:r>
          </w:p>
        </w:tc>
        <w:tc>
          <w:tcPr>
            <w:tcW w:w="522" w:type="pct"/>
            <w:tcBorders>
              <w:top w:val="single" w:sz="4" w:space="0" w:color="auto"/>
              <w:left w:val="nil"/>
              <w:bottom w:val="nil"/>
              <w:right w:val="nil"/>
            </w:tcBorders>
            <w:shd w:val="clear" w:color="auto" w:fill="auto"/>
            <w:noWrap/>
            <w:vAlign w:val="center"/>
            <w:hideMark/>
          </w:tcPr>
          <w:p w14:paraId="50191021"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6C8C9741"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6"/>
                <w:szCs w:val="18"/>
                <w:lang w:eastAsia="es-ES"/>
              </w:rPr>
              <w:t>1 x evento</w:t>
            </w:r>
          </w:p>
        </w:tc>
        <w:tc>
          <w:tcPr>
            <w:tcW w:w="828" w:type="pct"/>
            <w:tcBorders>
              <w:top w:val="single" w:sz="4" w:space="0" w:color="auto"/>
              <w:left w:val="nil"/>
              <w:bottom w:val="nil"/>
              <w:right w:val="nil"/>
            </w:tcBorders>
            <w:shd w:val="clear" w:color="auto" w:fill="auto"/>
            <w:vAlign w:val="center"/>
            <w:hideMark/>
          </w:tcPr>
          <w:p w14:paraId="68938D93"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Superficie bajo rasante</w:t>
            </w:r>
          </w:p>
        </w:tc>
        <w:tc>
          <w:tcPr>
            <w:tcW w:w="1067" w:type="pct"/>
            <w:tcBorders>
              <w:top w:val="single" w:sz="4" w:space="0" w:color="auto"/>
              <w:left w:val="nil"/>
              <w:bottom w:val="nil"/>
              <w:right w:val="nil"/>
            </w:tcBorders>
            <w:shd w:val="clear" w:color="auto" w:fill="auto"/>
            <w:noWrap/>
            <w:vAlign w:val="center"/>
            <w:hideMark/>
          </w:tcPr>
          <w:p w14:paraId="7FAB2F11"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0m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w:t>
            </w:r>
          </w:p>
          <w:p w14:paraId="6539AA3E"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 xml:space="preserve"> &lt;=50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=0,25</w:t>
            </w:r>
          </w:p>
          <w:p w14:paraId="7044EB28"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&lt;=150 m</w:t>
            </w:r>
            <w:r w:rsidRPr="00881652">
              <w:rPr>
                <w:rFonts w:eastAsia="Times New Roman"/>
                <w:color w:val="000000"/>
                <w:sz w:val="13"/>
                <w:szCs w:val="13"/>
                <w:vertAlign w:val="superscript"/>
                <w:lang w:eastAsia="es-ES"/>
              </w:rPr>
              <w:t>2</w:t>
            </w:r>
            <w:r>
              <w:rPr>
                <w:rFonts w:eastAsia="Times New Roman"/>
                <w:color w:val="000000"/>
                <w:sz w:val="13"/>
                <w:szCs w:val="13"/>
                <w:lang w:eastAsia="es-ES"/>
              </w:rPr>
              <w:t>=0,50</w:t>
            </w:r>
          </w:p>
          <w:p w14:paraId="1EFE472F"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&lt;=1200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 xml:space="preserve">=0,75 </w:t>
            </w:r>
          </w:p>
          <w:p w14:paraId="1BFD8E0C" w14:textId="77777777" w:rsidR="00C37732" w:rsidRPr="00D91B31" w:rsidRDefault="00C37732" w:rsidP="00C37732">
            <w:pPr>
              <w:spacing w:line="240" w:lineRule="auto"/>
              <w:rPr>
                <w:rFonts w:eastAsia="Times New Roman"/>
                <w:color w:val="000000"/>
                <w:sz w:val="15"/>
                <w:szCs w:val="18"/>
                <w:lang w:eastAsia="es-ES"/>
              </w:rPr>
            </w:pPr>
            <w:r w:rsidRPr="00881652">
              <w:rPr>
                <w:rFonts w:eastAsia="Times New Roman"/>
                <w:color w:val="000000"/>
                <w:sz w:val="13"/>
                <w:szCs w:val="13"/>
                <w:lang w:eastAsia="es-ES"/>
              </w:rPr>
              <w:t>&gt;1200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=1</w:t>
            </w:r>
          </w:p>
        </w:tc>
      </w:tr>
      <w:tr w:rsidR="00C37732" w:rsidRPr="00D91B31" w14:paraId="0F5819F9" w14:textId="77777777" w:rsidTr="00AE1ADB">
        <w:trPr>
          <w:trHeight w:val="300"/>
        </w:trPr>
        <w:tc>
          <w:tcPr>
            <w:tcW w:w="1614" w:type="pct"/>
            <w:vMerge/>
            <w:tcBorders>
              <w:left w:val="nil"/>
              <w:bottom w:val="single" w:sz="4" w:space="0" w:color="auto"/>
              <w:right w:val="nil"/>
            </w:tcBorders>
            <w:shd w:val="clear" w:color="auto" w:fill="auto"/>
            <w:noWrap/>
            <w:vAlign w:val="center"/>
            <w:hideMark/>
          </w:tcPr>
          <w:p w14:paraId="38267705" w14:textId="77777777" w:rsidR="00C37732" w:rsidRPr="00D91B31" w:rsidRDefault="00C37732" w:rsidP="00C37732">
            <w:pPr>
              <w:spacing w:line="240" w:lineRule="auto"/>
              <w:rPr>
                <w:rFonts w:eastAsia="Times New Roman"/>
                <w:b/>
                <w:bCs/>
                <w:color w:val="000000"/>
                <w:sz w:val="18"/>
                <w:szCs w:val="18"/>
                <w:lang w:eastAsia="es-ES"/>
              </w:rPr>
            </w:pPr>
          </w:p>
        </w:tc>
        <w:tc>
          <w:tcPr>
            <w:tcW w:w="970" w:type="pct"/>
            <w:tcBorders>
              <w:top w:val="nil"/>
              <w:left w:val="nil"/>
              <w:bottom w:val="single" w:sz="4" w:space="0" w:color="auto"/>
              <w:right w:val="nil"/>
            </w:tcBorders>
            <w:shd w:val="clear" w:color="auto" w:fill="auto"/>
            <w:vAlign w:val="center"/>
            <w:hideMark/>
          </w:tcPr>
          <w:p w14:paraId="36B0DF85"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Se encuentra en zona inundable (SNCZI)</w:t>
            </w:r>
          </w:p>
        </w:tc>
        <w:tc>
          <w:tcPr>
            <w:tcW w:w="522" w:type="pct"/>
            <w:tcBorders>
              <w:top w:val="nil"/>
              <w:left w:val="nil"/>
              <w:bottom w:val="single" w:sz="4" w:space="0" w:color="auto"/>
              <w:right w:val="nil"/>
            </w:tcBorders>
            <w:shd w:val="clear" w:color="auto" w:fill="auto"/>
            <w:noWrap/>
            <w:vAlign w:val="center"/>
            <w:hideMark/>
          </w:tcPr>
          <w:p w14:paraId="3A7BCFF4"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3AE586ED"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6"/>
                <w:szCs w:val="18"/>
                <w:lang w:eastAsia="es-ES"/>
              </w:rPr>
              <w:t>1 x evento</w:t>
            </w:r>
          </w:p>
        </w:tc>
        <w:tc>
          <w:tcPr>
            <w:tcW w:w="828" w:type="pct"/>
            <w:tcBorders>
              <w:top w:val="nil"/>
              <w:left w:val="nil"/>
              <w:bottom w:val="single" w:sz="4" w:space="0" w:color="auto"/>
              <w:right w:val="nil"/>
            </w:tcBorders>
            <w:shd w:val="clear" w:color="auto" w:fill="auto"/>
            <w:vAlign w:val="center"/>
            <w:hideMark/>
          </w:tcPr>
          <w:p w14:paraId="12761049"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Número de usuarios</w:t>
            </w:r>
          </w:p>
        </w:tc>
        <w:tc>
          <w:tcPr>
            <w:tcW w:w="1067" w:type="pct"/>
            <w:tcBorders>
              <w:top w:val="nil"/>
              <w:left w:val="nil"/>
              <w:bottom w:val="single" w:sz="4" w:space="0" w:color="auto"/>
              <w:right w:val="nil"/>
            </w:tcBorders>
            <w:shd w:val="clear" w:color="auto" w:fill="auto"/>
            <w:noWrap/>
            <w:vAlign w:val="center"/>
            <w:hideMark/>
          </w:tcPr>
          <w:p w14:paraId="565B805B"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 xml:space="preserve">Asignación según número </w:t>
            </w:r>
            <w:r>
              <w:rPr>
                <w:rFonts w:eastAsia="Times New Roman"/>
                <w:color w:val="000000"/>
                <w:sz w:val="18"/>
                <w:szCs w:val="18"/>
                <w:lang w:eastAsia="es-ES"/>
              </w:rPr>
              <w:t>total de usuarios</w:t>
            </w:r>
          </w:p>
        </w:tc>
      </w:tr>
      <w:tr w:rsidR="00C37732" w:rsidRPr="00D91B31" w14:paraId="4A7BDCB9" w14:textId="77777777" w:rsidTr="00AE1ADB">
        <w:trPr>
          <w:trHeight w:val="300"/>
        </w:trPr>
        <w:tc>
          <w:tcPr>
            <w:tcW w:w="1614" w:type="pct"/>
            <w:vMerge w:val="restart"/>
            <w:tcBorders>
              <w:top w:val="single" w:sz="4" w:space="0" w:color="auto"/>
              <w:left w:val="nil"/>
              <w:right w:val="nil"/>
            </w:tcBorders>
            <w:shd w:val="clear" w:color="auto" w:fill="auto"/>
            <w:noWrap/>
            <w:vAlign w:val="center"/>
            <w:hideMark/>
          </w:tcPr>
          <w:p w14:paraId="41E9230C" w14:textId="77777777" w:rsidR="00C37732" w:rsidRDefault="00C37732" w:rsidP="00C37732">
            <w:pPr>
              <w:spacing w:line="240" w:lineRule="auto"/>
              <w:rPr>
                <w:rFonts w:eastAsia="Times New Roman"/>
                <w:b/>
                <w:bCs/>
                <w:color w:val="000000"/>
                <w:sz w:val="18"/>
                <w:szCs w:val="18"/>
                <w:lang w:eastAsia="es-ES"/>
              </w:rPr>
            </w:pPr>
            <w:r>
              <w:rPr>
                <w:rFonts w:eastAsia="Times New Roman"/>
                <w:b/>
                <w:bCs/>
                <w:color w:val="000000"/>
                <w:sz w:val="18"/>
                <w:szCs w:val="18"/>
                <w:lang w:eastAsia="es-ES"/>
              </w:rPr>
              <w:t xml:space="preserve">8. </w:t>
            </w:r>
            <w:r w:rsidRPr="00D91B31">
              <w:rPr>
                <w:rFonts w:eastAsia="Times New Roman"/>
                <w:b/>
                <w:bCs/>
                <w:color w:val="000000"/>
                <w:sz w:val="18"/>
                <w:szCs w:val="18"/>
                <w:lang w:eastAsia="es-ES"/>
              </w:rPr>
              <w:t>Hospitales y centros de día y centros de salud</w:t>
            </w:r>
          </w:p>
          <w:p w14:paraId="27F2690A" w14:textId="77777777" w:rsidR="00C37732" w:rsidRPr="00D91B31" w:rsidRDefault="00C37732" w:rsidP="00C37732">
            <w:pPr>
              <w:spacing w:line="240" w:lineRule="auto"/>
              <w:rPr>
                <w:rFonts w:eastAsia="Times New Roman"/>
                <w:b/>
                <w:bCs/>
                <w:color w:val="000000"/>
                <w:sz w:val="18"/>
                <w:szCs w:val="18"/>
                <w:lang w:eastAsia="es-ES"/>
              </w:rPr>
            </w:pPr>
            <w:r w:rsidRPr="001F2929">
              <w:rPr>
                <w:rFonts w:eastAsia="Times New Roman"/>
                <w:bCs/>
                <w:i/>
                <w:color w:val="000000"/>
                <w:sz w:val="18"/>
                <w:szCs w:val="18"/>
                <w:lang w:eastAsia="es-ES"/>
              </w:rPr>
              <w:t xml:space="preserve">Factor de ponderación </w:t>
            </w:r>
            <w:r>
              <w:rPr>
                <w:rFonts w:eastAsia="Times New Roman"/>
                <w:bCs/>
                <w:i/>
                <w:color w:val="000000"/>
                <w:sz w:val="18"/>
                <w:szCs w:val="18"/>
                <w:lang w:eastAsia="es-ES"/>
              </w:rPr>
              <w:t>1</w:t>
            </w:r>
          </w:p>
        </w:tc>
        <w:tc>
          <w:tcPr>
            <w:tcW w:w="970" w:type="pct"/>
            <w:tcBorders>
              <w:top w:val="single" w:sz="4" w:space="0" w:color="auto"/>
              <w:left w:val="nil"/>
              <w:bottom w:val="nil"/>
              <w:right w:val="nil"/>
            </w:tcBorders>
            <w:shd w:val="clear" w:color="auto" w:fill="auto"/>
            <w:vAlign w:val="center"/>
            <w:hideMark/>
          </w:tcPr>
          <w:p w14:paraId="19B46AC5"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Daños constatados (PDA, prensa)</w:t>
            </w:r>
          </w:p>
        </w:tc>
        <w:tc>
          <w:tcPr>
            <w:tcW w:w="522" w:type="pct"/>
            <w:tcBorders>
              <w:top w:val="single" w:sz="4" w:space="0" w:color="auto"/>
              <w:left w:val="nil"/>
              <w:bottom w:val="nil"/>
              <w:right w:val="nil"/>
            </w:tcBorders>
            <w:shd w:val="clear" w:color="auto" w:fill="auto"/>
            <w:noWrap/>
            <w:vAlign w:val="center"/>
            <w:hideMark/>
          </w:tcPr>
          <w:p w14:paraId="3970BBA4"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34DB65A2"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6"/>
                <w:szCs w:val="18"/>
                <w:lang w:eastAsia="es-ES"/>
              </w:rPr>
              <w:t>1 x evento</w:t>
            </w:r>
          </w:p>
        </w:tc>
        <w:tc>
          <w:tcPr>
            <w:tcW w:w="828" w:type="pct"/>
            <w:tcBorders>
              <w:top w:val="single" w:sz="4" w:space="0" w:color="auto"/>
              <w:left w:val="nil"/>
              <w:bottom w:val="nil"/>
              <w:right w:val="nil"/>
            </w:tcBorders>
            <w:shd w:val="clear" w:color="auto" w:fill="auto"/>
            <w:vAlign w:val="center"/>
            <w:hideMark/>
          </w:tcPr>
          <w:p w14:paraId="5FD6D6A2"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Superficie bajo rasante</w:t>
            </w:r>
          </w:p>
        </w:tc>
        <w:tc>
          <w:tcPr>
            <w:tcW w:w="1067" w:type="pct"/>
            <w:tcBorders>
              <w:top w:val="single" w:sz="4" w:space="0" w:color="auto"/>
              <w:left w:val="nil"/>
              <w:bottom w:val="nil"/>
              <w:right w:val="nil"/>
            </w:tcBorders>
            <w:shd w:val="clear" w:color="auto" w:fill="auto"/>
            <w:noWrap/>
            <w:vAlign w:val="center"/>
            <w:hideMark/>
          </w:tcPr>
          <w:p w14:paraId="4FF4FC70" w14:textId="77777777" w:rsidR="00C37732" w:rsidRPr="00D91B31" w:rsidRDefault="00C37732" w:rsidP="00C37732">
            <w:pPr>
              <w:spacing w:line="240" w:lineRule="auto"/>
              <w:rPr>
                <w:rFonts w:eastAsia="Times New Roman"/>
                <w:color w:val="000000"/>
                <w:sz w:val="15"/>
                <w:szCs w:val="18"/>
                <w:lang w:eastAsia="es-ES"/>
              </w:rPr>
            </w:pPr>
            <w:r w:rsidRPr="00D91B31">
              <w:rPr>
                <w:rFonts w:eastAsia="Times New Roman"/>
                <w:color w:val="000000"/>
                <w:sz w:val="15"/>
                <w:szCs w:val="18"/>
                <w:lang w:eastAsia="es-ES"/>
              </w:rPr>
              <w:t>0m</w:t>
            </w:r>
            <w:r w:rsidRPr="00D91B31">
              <w:rPr>
                <w:rFonts w:eastAsia="Times New Roman"/>
                <w:color w:val="000000"/>
                <w:sz w:val="15"/>
                <w:szCs w:val="18"/>
                <w:vertAlign w:val="superscript"/>
                <w:lang w:eastAsia="es-ES"/>
              </w:rPr>
              <w:t>2</w:t>
            </w:r>
            <w:r w:rsidRPr="00D91B31">
              <w:rPr>
                <w:rFonts w:eastAsia="Times New Roman"/>
                <w:color w:val="000000"/>
                <w:sz w:val="15"/>
                <w:szCs w:val="18"/>
                <w:lang w:eastAsia="es-ES"/>
              </w:rPr>
              <w:t>=0</w:t>
            </w:r>
          </w:p>
          <w:p w14:paraId="04852AA2" w14:textId="77777777" w:rsidR="00C37732" w:rsidRPr="00D91B31" w:rsidRDefault="00C37732" w:rsidP="00C37732">
            <w:pPr>
              <w:spacing w:line="240" w:lineRule="auto"/>
              <w:rPr>
                <w:rFonts w:eastAsia="Times New Roman"/>
                <w:color w:val="000000"/>
                <w:sz w:val="15"/>
                <w:szCs w:val="18"/>
                <w:lang w:eastAsia="es-ES"/>
              </w:rPr>
            </w:pPr>
            <w:r w:rsidRPr="00D91B31">
              <w:rPr>
                <w:rFonts w:eastAsia="Times New Roman"/>
                <w:color w:val="000000"/>
                <w:sz w:val="15"/>
                <w:szCs w:val="18"/>
                <w:lang w:eastAsia="es-ES"/>
              </w:rPr>
              <w:t xml:space="preserve"> &lt;=50 m</w:t>
            </w:r>
            <w:r w:rsidRPr="00D91B31">
              <w:rPr>
                <w:rFonts w:eastAsia="Times New Roman"/>
                <w:color w:val="000000"/>
                <w:sz w:val="15"/>
                <w:szCs w:val="18"/>
                <w:vertAlign w:val="superscript"/>
                <w:lang w:eastAsia="es-ES"/>
              </w:rPr>
              <w:t>2</w:t>
            </w:r>
            <w:r w:rsidRPr="00D91B31">
              <w:rPr>
                <w:rFonts w:eastAsia="Times New Roman"/>
                <w:color w:val="000000"/>
                <w:sz w:val="15"/>
                <w:szCs w:val="18"/>
                <w:lang w:eastAsia="es-ES"/>
              </w:rPr>
              <w:t>=0,25</w:t>
            </w:r>
          </w:p>
          <w:p w14:paraId="03C14972" w14:textId="77777777" w:rsidR="00C37732" w:rsidRPr="00D91B31" w:rsidRDefault="00C37732" w:rsidP="00C37732">
            <w:pPr>
              <w:spacing w:line="240" w:lineRule="auto"/>
              <w:rPr>
                <w:rFonts w:eastAsia="Times New Roman"/>
                <w:color w:val="000000"/>
                <w:sz w:val="15"/>
                <w:szCs w:val="18"/>
                <w:lang w:eastAsia="es-ES"/>
              </w:rPr>
            </w:pPr>
            <w:r w:rsidRPr="00D91B31">
              <w:rPr>
                <w:rFonts w:eastAsia="Times New Roman"/>
                <w:color w:val="000000"/>
                <w:sz w:val="15"/>
                <w:szCs w:val="18"/>
                <w:lang w:eastAsia="es-ES"/>
              </w:rPr>
              <w:t>&lt;=150 m</w:t>
            </w:r>
            <w:r w:rsidRPr="00D91B31">
              <w:rPr>
                <w:rFonts w:eastAsia="Times New Roman"/>
                <w:color w:val="000000"/>
                <w:sz w:val="15"/>
                <w:szCs w:val="18"/>
                <w:vertAlign w:val="superscript"/>
                <w:lang w:eastAsia="es-ES"/>
              </w:rPr>
              <w:t>2</w:t>
            </w:r>
            <w:r w:rsidRPr="00D91B31">
              <w:rPr>
                <w:rFonts w:eastAsia="Times New Roman"/>
                <w:color w:val="000000"/>
                <w:sz w:val="15"/>
                <w:szCs w:val="18"/>
                <w:lang w:eastAsia="es-ES"/>
              </w:rPr>
              <w:t>=0,5</w:t>
            </w:r>
            <w:r>
              <w:rPr>
                <w:rFonts w:eastAsia="Times New Roman"/>
                <w:color w:val="000000"/>
                <w:sz w:val="15"/>
                <w:szCs w:val="18"/>
                <w:lang w:eastAsia="es-ES"/>
              </w:rPr>
              <w:t>0</w:t>
            </w:r>
          </w:p>
          <w:p w14:paraId="292B3D8F" w14:textId="77777777" w:rsidR="00C37732" w:rsidRPr="00D91B31" w:rsidRDefault="00C37732" w:rsidP="00C37732">
            <w:pPr>
              <w:spacing w:line="240" w:lineRule="auto"/>
              <w:rPr>
                <w:rFonts w:eastAsia="Times New Roman"/>
                <w:color w:val="000000"/>
                <w:sz w:val="15"/>
                <w:szCs w:val="18"/>
                <w:lang w:eastAsia="es-ES"/>
              </w:rPr>
            </w:pPr>
            <w:r w:rsidRPr="00D91B31">
              <w:rPr>
                <w:rFonts w:eastAsia="Times New Roman"/>
                <w:color w:val="000000"/>
                <w:sz w:val="15"/>
                <w:szCs w:val="18"/>
                <w:lang w:eastAsia="es-ES"/>
              </w:rPr>
              <w:t xml:space="preserve"> &lt;=1200 m</w:t>
            </w:r>
            <w:r w:rsidRPr="00D91B31">
              <w:rPr>
                <w:rFonts w:eastAsia="Times New Roman"/>
                <w:color w:val="000000"/>
                <w:sz w:val="15"/>
                <w:szCs w:val="18"/>
                <w:vertAlign w:val="superscript"/>
                <w:lang w:eastAsia="es-ES"/>
              </w:rPr>
              <w:t>2</w:t>
            </w:r>
            <w:r w:rsidRPr="00D91B31">
              <w:rPr>
                <w:rFonts w:eastAsia="Times New Roman"/>
                <w:color w:val="000000"/>
                <w:sz w:val="15"/>
                <w:szCs w:val="18"/>
                <w:lang w:eastAsia="es-ES"/>
              </w:rPr>
              <w:t>=0,75</w:t>
            </w:r>
          </w:p>
          <w:p w14:paraId="7AE551B1" w14:textId="77777777" w:rsidR="00C37732" w:rsidRPr="00D91B31" w:rsidRDefault="00C37732" w:rsidP="00C37732">
            <w:pPr>
              <w:spacing w:line="240" w:lineRule="auto"/>
              <w:rPr>
                <w:rFonts w:eastAsia="Times New Roman"/>
                <w:color w:val="000000"/>
                <w:sz w:val="15"/>
                <w:szCs w:val="18"/>
                <w:lang w:eastAsia="es-ES"/>
              </w:rPr>
            </w:pPr>
            <w:r w:rsidRPr="00D91B31">
              <w:rPr>
                <w:rFonts w:eastAsia="Times New Roman"/>
                <w:color w:val="000000"/>
                <w:sz w:val="15"/>
                <w:szCs w:val="18"/>
                <w:lang w:eastAsia="es-ES"/>
              </w:rPr>
              <w:t xml:space="preserve"> &gt;1200 m</w:t>
            </w:r>
            <w:r w:rsidRPr="00D91B31">
              <w:rPr>
                <w:rFonts w:eastAsia="Times New Roman"/>
                <w:color w:val="000000"/>
                <w:sz w:val="15"/>
                <w:szCs w:val="18"/>
                <w:vertAlign w:val="superscript"/>
                <w:lang w:eastAsia="es-ES"/>
              </w:rPr>
              <w:t>2</w:t>
            </w:r>
            <w:r w:rsidRPr="00D91B31">
              <w:rPr>
                <w:rFonts w:eastAsia="Times New Roman"/>
                <w:color w:val="000000"/>
                <w:sz w:val="15"/>
                <w:szCs w:val="18"/>
                <w:lang w:eastAsia="es-ES"/>
              </w:rPr>
              <w:t>=1</w:t>
            </w:r>
          </w:p>
        </w:tc>
      </w:tr>
      <w:tr w:rsidR="00C37732" w:rsidRPr="00D91B31" w14:paraId="78375D84" w14:textId="77777777" w:rsidTr="00AE1ADB">
        <w:trPr>
          <w:trHeight w:val="300"/>
        </w:trPr>
        <w:tc>
          <w:tcPr>
            <w:tcW w:w="1614" w:type="pct"/>
            <w:vMerge/>
            <w:tcBorders>
              <w:left w:val="nil"/>
              <w:bottom w:val="single" w:sz="4" w:space="0" w:color="auto"/>
              <w:right w:val="nil"/>
            </w:tcBorders>
            <w:shd w:val="clear" w:color="auto" w:fill="auto"/>
            <w:noWrap/>
            <w:vAlign w:val="center"/>
            <w:hideMark/>
          </w:tcPr>
          <w:p w14:paraId="0CCF94EE" w14:textId="77777777" w:rsidR="00C37732" w:rsidRPr="00D91B31" w:rsidRDefault="00C37732" w:rsidP="00C37732">
            <w:pPr>
              <w:spacing w:line="240" w:lineRule="auto"/>
              <w:rPr>
                <w:rFonts w:eastAsia="Times New Roman"/>
                <w:b/>
                <w:bCs/>
                <w:color w:val="000000"/>
                <w:sz w:val="18"/>
                <w:szCs w:val="18"/>
                <w:lang w:eastAsia="es-ES"/>
              </w:rPr>
            </w:pPr>
          </w:p>
        </w:tc>
        <w:tc>
          <w:tcPr>
            <w:tcW w:w="970" w:type="pct"/>
            <w:tcBorders>
              <w:top w:val="nil"/>
              <w:left w:val="nil"/>
              <w:bottom w:val="single" w:sz="4" w:space="0" w:color="auto"/>
              <w:right w:val="nil"/>
            </w:tcBorders>
            <w:shd w:val="clear" w:color="auto" w:fill="auto"/>
            <w:vAlign w:val="center"/>
            <w:hideMark/>
          </w:tcPr>
          <w:p w14:paraId="12911B45"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Se encuentra en zona inundable (SNCZI)</w:t>
            </w:r>
          </w:p>
        </w:tc>
        <w:tc>
          <w:tcPr>
            <w:tcW w:w="522" w:type="pct"/>
            <w:tcBorders>
              <w:top w:val="nil"/>
              <w:left w:val="nil"/>
              <w:bottom w:val="single" w:sz="4" w:space="0" w:color="auto"/>
              <w:right w:val="nil"/>
            </w:tcBorders>
            <w:shd w:val="clear" w:color="auto" w:fill="auto"/>
            <w:noWrap/>
            <w:vAlign w:val="center"/>
            <w:hideMark/>
          </w:tcPr>
          <w:p w14:paraId="63CFF15E"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3B6B920B"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6"/>
                <w:szCs w:val="18"/>
                <w:lang w:eastAsia="es-ES"/>
              </w:rPr>
              <w:t>1 x evento</w:t>
            </w:r>
          </w:p>
        </w:tc>
        <w:tc>
          <w:tcPr>
            <w:tcW w:w="828" w:type="pct"/>
            <w:tcBorders>
              <w:top w:val="nil"/>
              <w:left w:val="nil"/>
              <w:bottom w:val="single" w:sz="4" w:space="0" w:color="auto"/>
              <w:right w:val="nil"/>
            </w:tcBorders>
            <w:shd w:val="clear" w:color="auto" w:fill="auto"/>
            <w:vAlign w:val="center"/>
            <w:hideMark/>
          </w:tcPr>
          <w:p w14:paraId="28CE833E"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Número de usuarios</w:t>
            </w:r>
          </w:p>
        </w:tc>
        <w:tc>
          <w:tcPr>
            <w:tcW w:w="1067" w:type="pct"/>
            <w:tcBorders>
              <w:top w:val="nil"/>
              <w:left w:val="nil"/>
              <w:bottom w:val="single" w:sz="4" w:space="0" w:color="auto"/>
              <w:right w:val="nil"/>
            </w:tcBorders>
            <w:shd w:val="clear" w:color="auto" w:fill="auto"/>
            <w:noWrap/>
            <w:vAlign w:val="center"/>
            <w:hideMark/>
          </w:tcPr>
          <w:p w14:paraId="158DB3CC"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 xml:space="preserve">Asignación según número </w:t>
            </w:r>
            <w:r>
              <w:rPr>
                <w:rFonts w:eastAsia="Times New Roman"/>
                <w:color w:val="000000"/>
                <w:sz w:val="18"/>
                <w:szCs w:val="18"/>
                <w:lang w:eastAsia="es-ES"/>
              </w:rPr>
              <w:t>total de usuarios</w:t>
            </w:r>
          </w:p>
        </w:tc>
      </w:tr>
      <w:tr w:rsidR="00C37732" w:rsidRPr="00D91B31" w14:paraId="481C87FF" w14:textId="77777777" w:rsidTr="00AE1ADB">
        <w:trPr>
          <w:trHeight w:val="300"/>
        </w:trPr>
        <w:tc>
          <w:tcPr>
            <w:tcW w:w="1614" w:type="pct"/>
            <w:vMerge w:val="restart"/>
            <w:tcBorders>
              <w:top w:val="single" w:sz="4" w:space="0" w:color="auto"/>
              <w:left w:val="nil"/>
              <w:right w:val="nil"/>
            </w:tcBorders>
            <w:shd w:val="clear" w:color="auto" w:fill="auto"/>
            <w:noWrap/>
            <w:vAlign w:val="center"/>
            <w:hideMark/>
          </w:tcPr>
          <w:p w14:paraId="7F0B8AEF" w14:textId="77777777" w:rsidR="00C37732" w:rsidRDefault="00C37732" w:rsidP="00C37732">
            <w:pPr>
              <w:spacing w:line="240" w:lineRule="auto"/>
              <w:rPr>
                <w:rFonts w:eastAsia="Times New Roman"/>
                <w:b/>
                <w:bCs/>
                <w:color w:val="000000"/>
                <w:sz w:val="18"/>
                <w:szCs w:val="18"/>
                <w:lang w:eastAsia="es-ES"/>
              </w:rPr>
            </w:pPr>
            <w:r>
              <w:rPr>
                <w:rFonts w:eastAsia="Times New Roman"/>
                <w:b/>
                <w:bCs/>
                <w:color w:val="000000"/>
                <w:sz w:val="18"/>
                <w:szCs w:val="18"/>
                <w:lang w:eastAsia="es-ES"/>
              </w:rPr>
              <w:t xml:space="preserve">9. </w:t>
            </w:r>
            <w:r w:rsidRPr="00D91B31">
              <w:rPr>
                <w:rFonts w:eastAsia="Times New Roman"/>
                <w:b/>
                <w:bCs/>
                <w:color w:val="000000"/>
                <w:sz w:val="18"/>
                <w:szCs w:val="18"/>
                <w:lang w:eastAsia="es-ES"/>
              </w:rPr>
              <w:t>Servicios de seguridad, emergencias y protección civil</w:t>
            </w:r>
          </w:p>
          <w:p w14:paraId="78DDE7EF" w14:textId="77777777" w:rsidR="00C37732" w:rsidRPr="00D91B31" w:rsidRDefault="00C37732" w:rsidP="00C37732">
            <w:pPr>
              <w:spacing w:line="240" w:lineRule="auto"/>
              <w:rPr>
                <w:rFonts w:eastAsia="Times New Roman"/>
                <w:b/>
                <w:bCs/>
                <w:color w:val="000000"/>
                <w:sz w:val="18"/>
                <w:szCs w:val="18"/>
                <w:lang w:eastAsia="es-ES"/>
              </w:rPr>
            </w:pPr>
            <w:r w:rsidRPr="001F2929">
              <w:rPr>
                <w:rFonts w:eastAsia="Times New Roman"/>
                <w:bCs/>
                <w:i/>
                <w:color w:val="000000"/>
                <w:sz w:val="18"/>
                <w:szCs w:val="18"/>
                <w:lang w:eastAsia="es-ES"/>
              </w:rPr>
              <w:t xml:space="preserve">Factor de ponderación </w:t>
            </w:r>
            <w:r>
              <w:rPr>
                <w:rFonts w:eastAsia="Times New Roman"/>
                <w:bCs/>
                <w:i/>
                <w:color w:val="000000"/>
                <w:sz w:val="18"/>
                <w:szCs w:val="18"/>
                <w:lang w:eastAsia="es-ES"/>
              </w:rPr>
              <w:t>1</w:t>
            </w:r>
          </w:p>
        </w:tc>
        <w:tc>
          <w:tcPr>
            <w:tcW w:w="970" w:type="pct"/>
            <w:tcBorders>
              <w:top w:val="single" w:sz="4" w:space="0" w:color="auto"/>
              <w:left w:val="nil"/>
              <w:bottom w:val="nil"/>
              <w:right w:val="nil"/>
            </w:tcBorders>
            <w:shd w:val="clear" w:color="auto" w:fill="auto"/>
            <w:vAlign w:val="center"/>
            <w:hideMark/>
          </w:tcPr>
          <w:p w14:paraId="7417B86D"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Daños constatados (PDA, prensa)</w:t>
            </w:r>
          </w:p>
        </w:tc>
        <w:tc>
          <w:tcPr>
            <w:tcW w:w="522" w:type="pct"/>
            <w:tcBorders>
              <w:top w:val="single" w:sz="4" w:space="0" w:color="auto"/>
              <w:left w:val="nil"/>
              <w:bottom w:val="nil"/>
              <w:right w:val="nil"/>
            </w:tcBorders>
            <w:shd w:val="clear" w:color="auto" w:fill="auto"/>
            <w:noWrap/>
            <w:vAlign w:val="center"/>
            <w:hideMark/>
          </w:tcPr>
          <w:p w14:paraId="4D0B307F"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41505E90"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6"/>
                <w:szCs w:val="18"/>
                <w:lang w:eastAsia="es-ES"/>
              </w:rPr>
              <w:t>1 x evento</w:t>
            </w:r>
          </w:p>
        </w:tc>
        <w:tc>
          <w:tcPr>
            <w:tcW w:w="828" w:type="pct"/>
            <w:tcBorders>
              <w:top w:val="single" w:sz="4" w:space="0" w:color="auto"/>
              <w:left w:val="nil"/>
              <w:bottom w:val="nil"/>
              <w:right w:val="nil"/>
            </w:tcBorders>
            <w:shd w:val="clear" w:color="auto" w:fill="auto"/>
            <w:vAlign w:val="center"/>
            <w:hideMark/>
          </w:tcPr>
          <w:p w14:paraId="43489FC4"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Superficie bajo rasante</w:t>
            </w:r>
          </w:p>
        </w:tc>
        <w:tc>
          <w:tcPr>
            <w:tcW w:w="1067" w:type="pct"/>
            <w:tcBorders>
              <w:top w:val="single" w:sz="4" w:space="0" w:color="auto"/>
              <w:left w:val="nil"/>
              <w:bottom w:val="nil"/>
              <w:right w:val="nil"/>
            </w:tcBorders>
            <w:shd w:val="clear" w:color="auto" w:fill="auto"/>
            <w:noWrap/>
            <w:vAlign w:val="center"/>
            <w:hideMark/>
          </w:tcPr>
          <w:p w14:paraId="5425F9CB"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0m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 0</w:t>
            </w:r>
          </w:p>
          <w:p w14:paraId="4FECC78C"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 xml:space="preserve"> &lt;=50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 0,25</w:t>
            </w:r>
          </w:p>
          <w:p w14:paraId="49B027CA"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&lt;=150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=0,5</w:t>
            </w:r>
            <w:r>
              <w:rPr>
                <w:rFonts w:eastAsia="Times New Roman"/>
                <w:color w:val="000000"/>
                <w:sz w:val="13"/>
                <w:szCs w:val="13"/>
                <w:lang w:eastAsia="es-ES"/>
              </w:rPr>
              <w:t>0</w:t>
            </w:r>
          </w:p>
          <w:p w14:paraId="05F359BC"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 xml:space="preserve"> &lt;=1200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=0,75</w:t>
            </w:r>
          </w:p>
          <w:p w14:paraId="63C6439B" w14:textId="77777777" w:rsidR="00C37732" w:rsidRPr="00D91B31" w:rsidRDefault="00C37732" w:rsidP="00C37732">
            <w:pPr>
              <w:spacing w:line="240" w:lineRule="auto"/>
              <w:rPr>
                <w:rFonts w:eastAsia="Times New Roman"/>
                <w:color w:val="000000"/>
                <w:sz w:val="15"/>
                <w:szCs w:val="18"/>
                <w:lang w:eastAsia="es-ES"/>
              </w:rPr>
            </w:pPr>
            <w:r w:rsidRPr="00881652">
              <w:rPr>
                <w:rFonts w:eastAsia="Times New Roman"/>
                <w:color w:val="000000"/>
                <w:sz w:val="13"/>
                <w:szCs w:val="13"/>
                <w:lang w:eastAsia="es-ES"/>
              </w:rPr>
              <w:t xml:space="preserve"> &gt;1200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=1</w:t>
            </w:r>
          </w:p>
        </w:tc>
      </w:tr>
      <w:tr w:rsidR="00C37732" w:rsidRPr="00D91B31" w14:paraId="19EFBD35" w14:textId="77777777" w:rsidTr="00AE1ADB">
        <w:trPr>
          <w:trHeight w:val="300"/>
        </w:trPr>
        <w:tc>
          <w:tcPr>
            <w:tcW w:w="1614" w:type="pct"/>
            <w:vMerge/>
            <w:tcBorders>
              <w:left w:val="nil"/>
              <w:bottom w:val="single" w:sz="4" w:space="0" w:color="auto"/>
              <w:right w:val="nil"/>
            </w:tcBorders>
            <w:shd w:val="clear" w:color="auto" w:fill="auto"/>
            <w:noWrap/>
            <w:vAlign w:val="center"/>
            <w:hideMark/>
          </w:tcPr>
          <w:p w14:paraId="099A10B1" w14:textId="77777777" w:rsidR="00C37732" w:rsidRPr="00D91B31" w:rsidRDefault="00C37732" w:rsidP="00C37732">
            <w:pPr>
              <w:spacing w:line="240" w:lineRule="auto"/>
              <w:rPr>
                <w:rFonts w:eastAsia="Times New Roman"/>
                <w:b/>
                <w:bCs/>
                <w:color w:val="000000"/>
                <w:sz w:val="18"/>
                <w:szCs w:val="18"/>
                <w:lang w:eastAsia="es-ES"/>
              </w:rPr>
            </w:pPr>
          </w:p>
        </w:tc>
        <w:tc>
          <w:tcPr>
            <w:tcW w:w="970" w:type="pct"/>
            <w:tcBorders>
              <w:top w:val="nil"/>
              <w:left w:val="nil"/>
              <w:bottom w:val="single" w:sz="4" w:space="0" w:color="auto"/>
              <w:right w:val="nil"/>
            </w:tcBorders>
            <w:shd w:val="clear" w:color="auto" w:fill="auto"/>
            <w:vAlign w:val="center"/>
            <w:hideMark/>
          </w:tcPr>
          <w:p w14:paraId="767EFB9D"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Se encuentra en zona inundable (SNCZI)</w:t>
            </w:r>
          </w:p>
        </w:tc>
        <w:tc>
          <w:tcPr>
            <w:tcW w:w="522" w:type="pct"/>
            <w:tcBorders>
              <w:top w:val="nil"/>
              <w:left w:val="nil"/>
              <w:bottom w:val="single" w:sz="4" w:space="0" w:color="auto"/>
              <w:right w:val="nil"/>
            </w:tcBorders>
            <w:shd w:val="clear" w:color="auto" w:fill="auto"/>
            <w:noWrap/>
            <w:vAlign w:val="center"/>
            <w:hideMark/>
          </w:tcPr>
          <w:p w14:paraId="0087A169"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6E47F7DB"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6"/>
                <w:szCs w:val="18"/>
                <w:lang w:eastAsia="es-ES"/>
              </w:rPr>
              <w:t>1 x evento</w:t>
            </w:r>
          </w:p>
        </w:tc>
        <w:tc>
          <w:tcPr>
            <w:tcW w:w="828" w:type="pct"/>
            <w:tcBorders>
              <w:top w:val="nil"/>
              <w:left w:val="nil"/>
              <w:bottom w:val="single" w:sz="4" w:space="0" w:color="auto"/>
              <w:right w:val="nil"/>
            </w:tcBorders>
            <w:shd w:val="clear" w:color="auto" w:fill="auto"/>
            <w:vAlign w:val="center"/>
            <w:hideMark/>
          </w:tcPr>
          <w:p w14:paraId="59FC8E09" w14:textId="77777777" w:rsidR="00C37732" w:rsidRPr="00D91B31" w:rsidRDefault="00C37732" w:rsidP="00C37732">
            <w:pPr>
              <w:spacing w:line="240" w:lineRule="auto"/>
              <w:rPr>
                <w:rFonts w:eastAsia="Times New Roman"/>
                <w:color w:val="000000"/>
                <w:sz w:val="18"/>
                <w:szCs w:val="18"/>
                <w:lang w:eastAsia="es-ES"/>
              </w:rPr>
            </w:pPr>
            <w:r>
              <w:rPr>
                <w:rFonts w:eastAsia="Times New Roman"/>
                <w:color w:val="000000"/>
                <w:sz w:val="18"/>
                <w:szCs w:val="18"/>
                <w:lang w:eastAsia="es-ES"/>
              </w:rPr>
              <w:t>Grado importancia Protección C</w:t>
            </w:r>
            <w:r w:rsidRPr="00D91B31">
              <w:rPr>
                <w:rFonts w:eastAsia="Times New Roman"/>
                <w:color w:val="000000"/>
                <w:sz w:val="18"/>
                <w:szCs w:val="18"/>
                <w:lang w:eastAsia="es-ES"/>
              </w:rPr>
              <w:t>ivil</w:t>
            </w:r>
          </w:p>
        </w:tc>
        <w:tc>
          <w:tcPr>
            <w:tcW w:w="1067" w:type="pct"/>
            <w:tcBorders>
              <w:top w:val="nil"/>
              <w:left w:val="nil"/>
              <w:bottom w:val="single" w:sz="4" w:space="0" w:color="auto"/>
              <w:right w:val="nil"/>
            </w:tcBorders>
            <w:shd w:val="clear" w:color="auto" w:fill="auto"/>
            <w:noWrap/>
            <w:vAlign w:val="center"/>
            <w:hideMark/>
          </w:tcPr>
          <w:p w14:paraId="48E1CFDA" w14:textId="77777777" w:rsidR="00C37732" w:rsidRPr="00D91B31" w:rsidRDefault="00C37732" w:rsidP="00C37732">
            <w:pPr>
              <w:spacing w:line="240" w:lineRule="auto"/>
              <w:rPr>
                <w:rFonts w:eastAsia="Times New Roman"/>
                <w:color w:val="000000"/>
                <w:sz w:val="18"/>
                <w:szCs w:val="18"/>
                <w:lang w:eastAsia="es-ES"/>
              </w:rPr>
            </w:pPr>
            <w:r>
              <w:rPr>
                <w:rFonts w:eastAsia="Times New Roman"/>
                <w:color w:val="000000"/>
                <w:sz w:val="18"/>
                <w:szCs w:val="18"/>
                <w:lang w:eastAsia="es-ES"/>
              </w:rPr>
              <w:t xml:space="preserve">Amplifica el factor de ponderación </w:t>
            </w:r>
          </w:p>
        </w:tc>
      </w:tr>
      <w:tr w:rsidR="00C37732" w:rsidRPr="00D91B31" w14:paraId="3F1BB8D8" w14:textId="77777777" w:rsidTr="00AE1ADB">
        <w:trPr>
          <w:trHeight w:val="300"/>
        </w:trPr>
        <w:tc>
          <w:tcPr>
            <w:tcW w:w="1614" w:type="pct"/>
            <w:vMerge w:val="restart"/>
            <w:tcBorders>
              <w:top w:val="single" w:sz="4" w:space="0" w:color="auto"/>
              <w:left w:val="nil"/>
              <w:right w:val="nil"/>
            </w:tcBorders>
            <w:shd w:val="clear" w:color="auto" w:fill="auto"/>
            <w:noWrap/>
            <w:vAlign w:val="center"/>
            <w:hideMark/>
          </w:tcPr>
          <w:p w14:paraId="1D3A5A05" w14:textId="77777777" w:rsidR="00C37732" w:rsidRDefault="00C37732" w:rsidP="00C37732">
            <w:pPr>
              <w:spacing w:line="240" w:lineRule="auto"/>
              <w:rPr>
                <w:rFonts w:eastAsia="Times New Roman"/>
                <w:b/>
                <w:bCs/>
                <w:color w:val="000000"/>
                <w:sz w:val="18"/>
                <w:szCs w:val="18"/>
                <w:lang w:eastAsia="es-ES"/>
              </w:rPr>
            </w:pPr>
            <w:r>
              <w:rPr>
                <w:rFonts w:eastAsia="Times New Roman"/>
                <w:b/>
                <w:bCs/>
                <w:color w:val="000000"/>
                <w:sz w:val="18"/>
                <w:szCs w:val="18"/>
                <w:lang w:eastAsia="es-ES"/>
              </w:rPr>
              <w:t xml:space="preserve">10. </w:t>
            </w:r>
            <w:r w:rsidRPr="00D91B31">
              <w:rPr>
                <w:rFonts w:eastAsia="Times New Roman"/>
                <w:b/>
                <w:bCs/>
                <w:color w:val="000000"/>
                <w:sz w:val="18"/>
                <w:szCs w:val="18"/>
                <w:lang w:eastAsia="es-ES"/>
              </w:rPr>
              <w:t>Aparcamientos</w:t>
            </w:r>
          </w:p>
          <w:p w14:paraId="629C3B65" w14:textId="77777777" w:rsidR="00C37732" w:rsidRPr="00D91B31" w:rsidRDefault="00C37732" w:rsidP="00C37732">
            <w:pPr>
              <w:spacing w:line="240" w:lineRule="auto"/>
              <w:rPr>
                <w:rFonts w:eastAsia="Times New Roman"/>
                <w:b/>
                <w:bCs/>
                <w:color w:val="000000"/>
                <w:sz w:val="18"/>
                <w:szCs w:val="18"/>
                <w:lang w:eastAsia="es-ES"/>
              </w:rPr>
            </w:pPr>
            <w:r w:rsidRPr="001F2929">
              <w:rPr>
                <w:rFonts w:eastAsia="Times New Roman"/>
                <w:bCs/>
                <w:i/>
                <w:color w:val="000000"/>
                <w:sz w:val="18"/>
                <w:szCs w:val="18"/>
                <w:lang w:eastAsia="es-ES"/>
              </w:rPr>
              <w:t>Factor de ponderación 0,25</w:t>
            </w:r>
          </w:p>
        </w:tc>
        <w:tc>
          <w:tcPr>
            <w:tcW w:w="970" w:type="pct"/>
            <w:tcBorders>
              <w:top w:val="single" w:sz="4" w:space="0" w:color="auto"/>
              <w:left w:val="nil"/>
              <w:bottom w:val="nil"/>
              <w:right w:val="nil"/>
            </w:tcBorders>
            <w:shd w:val="clear" w:color="auto" w:fill="auto"/>
            <w:vAlign w:val="center"/>
            <w:hideMark/>
          </w:tcPr>
          <w:p w14:paraId="1E9F79C5"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Daños constatados (PDA, prensa)</w:t>
            </w:r>
          </w:p>
        </w:tc>
        <w:tc>
          <w:tcPr>
            <w:tcW w:w="522" w:type="pct"/>
            <w:tcBorders>
              <w:top w:val="single" w:sz="4" w:space="0" w:color="auto"/>
              <w:left w:val="nil"/>
              <w:bottom w:val="nil"/>
              <w:right w:val="nil"/>
            </w:tcBorders>
            <w:shd w:val="clear" w:color="auto" w:fill="auto"/>
            <w:noWrap/>
            <w:vAlign w:val="center"/>
            <w:hideMark/>
          </w:tcPr>
          <w:p w14:paraId="670F3981"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4E1DF9E1"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6"/>
                <w:szCs w:val="18"/>
                <w:lang w:eastAsia="es-ES"/>
              </w:rPr>
              <w:t>1 x evento</w:t>
            </w:r>
          </w:p>
        </w:tc>
        <w:tc>
          <w:tcPr>
            <w:tcW w:w="828" w:type="pct"/>
            <w:tcBorders>
              <w:top w:val="single" w:sz="4" w:space="0" w:color="auto"/>
              <w:left w:val="nil"/>
              <w:bottom w:val="nil"/>
              <w:right w:val="nil"/>
            </w:tcBorders>
            <w:shd w:val="clear" w:color="auto" w:fill="auto"/>
            <w:vAlign w:val="center"/>
            <w:hideMark/>
          </w:tcPr>
          <w:p w14:paraId="6F081BC8"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Superficie bajo rasante</w:t>
            </w:r>
          </w:p>
        </w:tc>
        <w:tc>
          <w:tcPr>
            <w:tcW w:w="1067" w:type="pct"/>
            <w:tcBorders>
              <w:top w:val="single" w:sz="4" w:space="0" w:color="auto"/>
              <w:left w:val="nil"/>
              <w:bottom w:val="nil"/>
              <w:right w:val="nil"/>
            </w:tcBorders>
            <w:shd w:val="clear" w:color="auto" w:fill="auto"/>
            <w:noWrap/>
            <w:vAlign w:val="center"/>
            <w:hideMark/>
          </w:tcPr>
          <w:p w14:paraId="251EA8D7"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0m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w:t>
            </w:r>
          </w:p>
          <w:p w14:paraId="24400A36" w14:textId="77777777" w:rsidR="00C37732" w:rsidRPr="00881652" w:rsidRDefault="00C37732" w:rsidP="00C37732">
            <w:pPr>
              <w:spacing w:line="240" w:lineRule="auto"/>
              <w:rPr>
                <w:rFonts w:eastAsia="Times New Roman"/>
                <w:color w:val="000000"/>
                <w:sz w:val="13"/>
                <w:szCs w:val="13"/>
                <w:lang w:eastAsia="es-ES"/>
              </w:rPr>
            </w:pPr>
            <w:r w:rsidRPr="00881652">
              <w:rPr>
                <w:rFonts w:eastAsia="Times New Roman"/>
                <w:color w:val="000000"/>
                <w:sz w:val="13"/>
                <w:szCs w:val="13"/>
                <w:lang w:eastAsia="es-ES"/>
              </w:rPr>
              <w:t xml:space="preserve"> &lt;=50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=0,25</w:t>
            </w:r>
          </w:p>
          <w:p w14:paraId="47D485BF" w14:textId="77777777" w:rsidR="00C37732" w:rsidRPr="00D91B31" w:rsidRDefault="00C37732" w:rsidP="00C37732">
            <w:pPr>
              <w:spacing w:line="240" w:lineRule="auto"/>
              <w:rPr>
                <w:rFonts w:eastAsia="Times New Roman"/>
                <w:color w:val="000000"/>
                <w:sz w:val="15"/>
                <w:szCs w:val="18"/>
                <w:lang w:eastAsia="es-ES"/>
              </w:rPr>
            </w:pPr>
            <w:r w:rsidRPr="00881652">
              <w:rPr>
                <w:rFonts w:eastAsia="Times New Roman"/>
                <w:color w:val="000000"/>
                <w:sz w:val="13"/>
                <w:szCs w:val="13"/>
                <w:lang w:eastAsia="es-ES"/>
              </w:rPr>
              <w:t>&lt;=150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=0,5</w:t>
            </w:r>
            <w:r>
              <w:rPr>
                <w:rFonts w:eastAsia="Times New Roman"/>
                <w:color w:val="000000"/>
                <w:sz w:val="13"/>
                <w:szCs w:val="13"/>
                <w:lang w:eastAsia="es-ES"/>
              </w:rPr>
              <w:t>0</w:t>
            </w:r>
            <w:r w:rsidRPr="00881652">
              <w:rPr>
                <w:rFonts w:eastAsia="Times New Roman"/>
                <w:color w:val="000000"/>
                <w:sz w:val="13"/>
                <w:szCs w:val="13"/>
                <w:lang w:eastAsia="es-ES"/>
              </w:rPr>
              <w:t xml:space="preserve"> &lt;=1200m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=0,75 &gt;1200 m</w:t>
            </w:r>
            <w:r w:rsidRPr="00881652">
              <w:rPr>
                <w:rFonts w:eastAsia="Times New Roman"/>
                <w:color w:val="000000"/>
                <w:sz w:val="13"/>
                <w:szCs w:val="13"/>
                <w:vertAlign w:val="superscript"/>
                <w:lang w:eastAsia="es-ES"/>
              </w:rPr>
              <w:t>2</w:t>
            </w:r>
            <w:r w:rsidRPr="00881652">
              <w:rPr>
                <w:rFonts w:eastAsia="Times New Roman"/>
                <w:color w:val="000000"/>
                <w:sz w:val="13"/>
                <w:szCs w:val="13"/>
                <w:lang w:eastAsia="es-ES"/>
              </w:rPr>
              <w:t>=1</w:t>
            </w:r>
          </w:p>
        </w:tc>
      </w:tr>
      <w:tr w:rsidR="00C37732" w:rsidRPr="00D91B31" w14:paraId="7B6AF400" w14:textId="77777777" w:rsidTr="00AE1ADB">
        <w:trPr>
          <w:trHeight w:val="300"/>
        </w:trPr>
        <w:tc>
          <w:tcPr>
            <w:tcW w:w="1614" w:type="pct"/>
            <w:vMerge/>
            <w:tcBorders>
              <w:left w:val="nil"/>
              <w:bottom w:val="single" w:sz="4" w:space="0" w:color="auto"/>
              <w:right w:val="nil"/>
            </w:tcBorders>
            <w:shd w:val="clear" w:color="auto" w:fill="auto"/>
            <w:noWrap/>
            <w:vAlign w:val="center"/>
            <w:hideMark/>
          </w:tcPr>
          <w:p w14:paraId="258F02BF" w14:textId="77777777" w:rsidR="00C37732" w:rsidRPr="00D91B31" w:rsidRDefault="00C37732" w:rsidP="00C37732">
            <w:pPr>
              <w:spacing w:line="240" w:lineRule="auto"/>
              <w:rPr>
                <w:rFonts w:eastAsia="Times New Roman"/>
                <w:color w:val="000000"/>
                <w:sz w:val="18"/>
                <w:szCs w:val="18"/>
                <w:lang w:eastAsia="es-ES"/>
              </w:rPr>
            </w:pPr>
          </w:p>
        </w:tc>
        <w:tc>
          <w:tcPr>
            <w:tcW w:w="970" w:type="pct"/>
            <w:tcBorders>
              <w:top w:val="nil"/>
              <w:left w:val="nil"/>
              <w:bottom w:val="single" w:sz="4" w:space="0" w:color="auto"/>
              <w:right w:val="nil"/>
            </w:tcBorders>
            <w:shd w:val="clear" w:color="auto" w:fill="auto"/>
            <w:vAlign w:val="center"/>
            <w:hideMark/>
          </w:tcPr>
          <w:p w14:paraId="7A692FC7"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Se encuentra en zona inundable (SNCZI)</w:t>
            </w:r>
          </w:p>
        </w:tc>
        <w:tc>
          <w:tcPr>
            <w:tcW w:w="522" w:type="pct"/>
            <w:tcBorders>
              <w:top w:val="nil"/>
              <w:left w:val="nil"/>
              <w:bottom w:val="single" w:sz="4" w:space="0" w:color="auto"/>
              <w:right w:val="nil"/>
            </w:tcBorders>
            <w:shd w:val="clear" w:color="auto" w:fill="auto"/>
            <w:noWrap/>
            <w:vAlign w:val="center"/>
            <w:hideMark/>
          </w:tcPr>
          <w:p w14:paraId="305ACFB1" w14:textId="77777777" w:rsidR="00C37732" w:rsidRPr="00D91B31" w:rsidRDefault="00C37732" w:rsidP="00C37732">
            <w:pPr>
              <w:spacing w:line="240" w:lineRule="auto"/>
              <w:rPr>
                <w:rFonts w:eastAsia="Times New Roman"/>
                <w:color w:val="000000"/>
                <w:sz w:val="16"/>
                <w:szCs w:val="18"/>
                <w:lang w:eastAsia="es-ES"/>
              </w:rPr>
            </w:pPr>
            <w:r w:rsidRPr="00D91B31">
              <w:rPr>
                <w:rFonts w:eastAsia="Times New Roman"/>
                <w:color w:val="000000"/>
                <w:sz w:val="16"/>
                <w:szCs w:val="18"/>
                <w:lang w:eastAsia="es-ES"/>
              </w:rPr>
              <w:t xml:space="preserve">0 no daño </w:t>
            </w:r>
          </w:p>
          <w:p w14:paraId="26DE9072"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6"/>
                <w:szCs w:val="18"/>
                <w:lang w:eastAsia="es-ES"/>
              </w:rPr>
              <w:t>1 x evento</w:t>
            </w:r>
          </w:p>
        </w:tc>
        <w:tc>
          <w:tcPr>
            <w:tcW w:w="828" w:type="pct"/>
            <w:tcBorders>
              <w:top w:val="nil"/>
              <w:left w:val="nil"/>
              <w:bottom w:val="single" w:sz="4" w:space="0" w:color="auto"/>
              <w:right w:val="nil"/>
            </w:tcBorders>
            <w:shd w:val="clear" w:color="auto" w:fill="auto"/>
            <w:vAlign w:val="center"/>
            <w:hideMark/>
          </w:tcPr>
          <w:p w14:paraId="43582268"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Capacidad o aforo</w:t>
            </w:r>
          </w:p>
        </w:tc>
        <w:tc>
          <w:tcPr>
            <w:tcW w:w="1067" w:type="pct"/>
            <w:tcBorders>
              <w:top w:val="nil"/>
              <w:left w:val="nil"/>
              <w:bottom w:val="single" w:sz="4" w:space="0" w:color="auto"/>
              <w:right w:val="nil"/>
            </w:tcBorders>
            <w:shd w:val="clear" w:color="auto" w:fill="auto"/>
            <w:noWrap/>
            <w:vAlign w:val="center"/>
            <w:hideMark/>
          </w:tcPr>
          <w:p w14:paraId="272CC414" w14:textId="77777777" w:rsidR="00C37732" w:rsidRPr="00D91B31" w:rsidRDefault="00C37732" w:rsidP="00C37732">
            <w:pPr>
              <w:spacing w:line="240" w:lineRule="auto"/>
              <w:rPr>
                <w:rFonts w:eastAsia="Times New Roman"/>
                <w:color w:val="000000"/>
                <w:sz w:val="18"/>
                <w:szCs w:val="18"/>
                <w:lang w:eastAsia="es-ES"/>
              </w:rPr>
            </w:pPr>
            <w:r w:rsidRPr="00D91B31">
              <w:rPr>
                <w:rFonts w:eastAsia="Times New Roman"/>
                <w:color w:val="000000"/>
                <w:sz w:val="18"/>
                <w:szCs w:val="18"/>
                <w:lang w:eastAsia="es-ES"/>
              </w:rPr>
              <w:t>Asignación según superficie</w:t>
            </w:r>
          </w:p>
        </w:tc>
      </w:tr>
    </w:tbl>
    <w:p w14:paraId="6D78AC28" w14:textId="77777777" w:rsidR="00AE1ADB" w:rsidRDefault="00AE1ADB" w:rsidP="00AE1ADB">
      <w:pPr>
        <w:spacing w:line="276" w:lineRule="auto"/>
        <w:contextualSpacing/>
        <w:jc w:val="center"/>
        <w:rPr>
          <w:rFonts w:eastAsia="Times New Roman"/>
          <w:szCs w:val="20"/>
          <w:lang w:eastAsia="es-ES"/>
        </w:rPr>
      </w:pPr>
    </w:p>
    <w:p w14:paraId="511FA1CE" w14:textId="70C3CCAC" w:rsidR="00C37732" w:rsidRDefault="00AE1ADB" w:rsidP="00AE1ADB">
      <w:pPr>
        <w:spacing w:line="276" w:lineRule="auto"/>
        <w:contextualSpacing/>
        <w:jc w:val="center"/>
        <w:rPr>
          <w:rFonts w:eastAsia="Times New Roman"/>
          <w:bCs/>
          <w:kern w:val="18"/>
          <w:szCs w:val="20"/>
          <w:lang w:eastAsia="es-ES"/>
        </w:rPr>
      </w:pPr>
      <w:r w:rsidRPr="009925E2">
        <w:rPr>
          <w:rFonts w:eastAsia="Times New Roman"/>
          <w:szCs w:val="20"/>
          <w:lang w:eastAsia="es-ES"/>
        </w:rPr>
        <w:t>Tabla 2. Identificación y valoración de indicadores de vulnerabilidad</w:t>
      </w:r>
      <w:r>
        <w:rPr>
          <w:rFonts w:eastAsia="Times New Roman"/>
          <w:szCs w:val="20"/>
          <w:lang w:eastAsia="es-ES"/>
        </w:rPr>
        <w:t xml:space="preserve"> </w:t>
      </w:r>
      <w:r w:rsidRPr="00D13470">
        <w:rPr>
          <w:rFonts w:eastAsia="Times New Roman"/>
          <w:szCs w:val="20"/>
          <w:lang w:eastAsia="es-ES"/>
        </w:rPr>
        <w:t>propuestos</w:t>
      </w:r>
      <w:r>
        <w:rPr>
          <w:rFonts w:eastAsia="Times New Roman"/>
          <w:bCs/>
          <w:kern w:val="18"/>
          <w:szCs w:val="20"/>
          <w:lang w:eastAsia="es-ES"/>
        </w:rPr>
        <w:t xml:space="preserve">. </w:t>
      </w:r>
      <w:r w:rsidRPr="009925E2">
        <w:rPr>
          <w:rFonts w:eastAsia="Times New Roman"/>
          <w:bCs/>
          <w:kern w:val="18"/>
          <w:szCs w:val="20"/>
          <w:lang w:eastAsia="es-ES"/>
        </w:rPr>
        <w:t>Fuente: Elaboración propia</w:t>
      </w:r>
      <w:r>
        <w:rPr>
          <w:rFonts w:eastAsia="Times New Roman"/>
          <w:bCs/>
          <w:kern w:val="18"/>
          <w:szCs w:val="20"/>
          <w:lang w:eastAsia="es-ES"/>
        </w:rPr>
        <w:t>.</w:t>
      </w:r>
    </w:p>
    <w:p w14:paraId="0D2AC4B5" w14:textId="77777777" w:rsidR="0038507E" w:rsidRPr="00AE1ADB" w:rsidRDefault="0038507E" w:rsidP="00AE1ADB">
      <w:pPr>
        <w:spacing w:line="276" w:lineRule="auto"/>
        <w:contextualSpacing/>
        <w:jc w:val="center"/>
        <w:rPr>
          <w:rFonts w:eastAsia="Times New Roman"/>
          <w:bCs/>
          <w:kern w:val="18"/>
          <w:szCs w:val="20"/>
          <w:highlight w:val="red"/>
          <w:lang w:eastAsia="es-ES"/>
        </w:rPr>
      </w:pPr>
    </w:p>
    <w:p w14:paraId="21E88113" w14:textId="3F22294D" w:rsidR="00C37732" w:rsidRPr="00AE1ADB" w:rsidRDefault="00C37732" w:rsidP="00AE1ADB">
      <w:pPr>
        <w:ind w:firstLine="426"/>
        <w:contextualSpacing/>
        <w:jc w:val="both"/>
        <w:rPr>
          <w:rFonts w:eastAsia="Times New Roman"/>
          <w:bCs/>
          <w:kern w:val="18"/>
          <w:lang w:eastAsia="es-ES"/>
        </w:rPr>
      </w:pPr>
      <w:r w:rsidRPr="00CF4B62">
        <w:rPr>
          <w:rFonts w:eastAsia="Times New Roman"/>
          <w:bCs/>
          <w:kern w:val="18"/>
          <w:lang w:eastAsia="es-ES"/>
        </w:rPr>
        <w:t>Una aplicación práctica del cálculo total de la vulnerabilidad establecido en este trabajo se muestra en el ejemplo recogido en la Tabla 3, correspondiente a una parcela con una vocación de uso de alojamiento turístico.</w:t>
      </w:r>
    </w:p>
    <w:p w14:paraId="7D6DA381" w14:textId="77777777" w:rsidR="00C37732" w:rsidRPr="006716BA" w:rsidRDefault="00C37732" w:rsidP="00C37732">
      <w:pPr>
        <w:spacing w:line="276" w:lineRule="auto"/>
        <w:contextualSpacing/>
        <w:jc w:val="center"/>
        <w:rPr>
          <w:rFonts w:eastAsia="Times New Roman"/>
          <w:bCs/>
          <w:kern w:val="18"/>
          <w:szCs w:val="20"/>
          <w:lang w:eastAsia="es-ES"/>
        </w:rPr>
      </w:pPr>
    </w:p>
    <w:tbl>
      <w:tblPr>
        <w:tblW w:w="8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106"/>
        <w:gridCol w:w="1742"/>
        <w:gridCol w:w="966"/>
        <w:gridCol w:w="2088"/>
        <w:gridCol w:w="1285"/>
      </w:tblGrid>
      <w:tr w:rsidR="00C37732" w:rsidRPr="00803AD4" w14:paraId="382329BB" w14:textId="77777777" w:rsidTr="00C37732">
        <w:trPr>
          <w:jc w:val="center"/>
        </w:trPr>
        <w:tc>
          <w:tcPr>
            <w:tcW w:w="1066" w:type="dxa"/>
            <w:shd w:val="clear" w:color="auto" w:fill="auto"/>
            <w:vAlign w:val="center"/>
          </w:tcPr>
          <w:p w14:paraId="72268F49" w14:textId="77777777" w:rsidR="00C37732" w:rsidRPr="00803AD4" w:rsidRDefault="00C37732" w:rsidP="00C37732">
            <w:pPr>
              <w:contextualSpacing/>
              <w:jc w:val="center"/>
              <w:rPr>
                <w:rFonts w:eastAsia="Times New Roman"/>
                <w:bCs/>
                <w:kern w:val="18"/>
                <w:sz w:val="18"/>
                <w:szCs w:val="20"/>
                <w:lang w:eastAsia="es-ES"/>
              </w:rPr>
            </w:pPr>
            <w:bookmarkStart w:id="0" w:name="OLE_LINK1"/>
            <w:r w:rsidRPr="00803AD4">
              <w:rPr>
                <w:rFonts w:eastAsia="Times New Roman"/>
                <w:bCs/>
                <w:kern w:val="18"/>
                <w:sz w:val="18"/>
                <w:szCs w:val="20"/>
                <w:lang w:eastAsia="es-ES"/>
              </w:rPr>
              <w:t>Elemento Vulnerable (</w:t>
            </w:r>
            <w:r w:rsidRPr="00803AD4">
              <w:rPr>
                <w:rFonts w:eastAsia="Times New Roman"/>
                <w:b/>
                <w:bCs/>
                <w:kern w:val="18"/>
                <w:sz w:val="18"/>
                <w:szCs w:val="20"/>
                <w:lang w:eastAsia="es-ES"/>
              </w:rPr>
              <w:t>E</w:t>
            </w:r>
            <w:r w:rsidRPr="00803AD4">
              <w:rPr>
                <w:rFonts w:eastAsia="Times New Roman"/>
                <w:bCs/>
                <w:kern w:val="18"/>
                <w:sz w:val="18"/>
                <w:szCs w:val="20"/>
                <w:lang w:eastAsia="es-ES"/>
              </w:rPr>
              <w:t>)</w:t>
            </w:r>
          </w:p>
        </w:tc>
        <w:tc>
          <w:tcPr>
            <w:tcW w:w="1106" w:type="dxa"/>
            <w:shd w:val="clear" w:color="auto" w:fill="auto"/>
            <w:vAlign w:val="center"/>
          </w:tcPr>
          <w:p w14:paraId="4C53D470" w14:textId="77777777" w:rsidR="00C37732" w:rsidRPr="00803AD4" w:rsidRDefault="00C37732" w:rsidP="00C37732">
            <w:pPr>
              <w:contextualSpacing/>
              <w:jc w:val="center"/>
              <w:rPr>
                <w:rFonts w:eastAsia="Times New Roman"/>
                <w:bCs/>
                <w:kern w:val="18"/>
                <w:sz w:val="18"/>
                <w:szCs w:val="20"/>
                <w:lang w:eastAsia="es-ES"/>
              </w:rPr>
            </w:pPr>
            <w:r w:rsidRPr="00803AD4">
              <w:rPr>
                <w:rFonts w:eastAsia="Times New Roman"/>
                <w:bCs/>
                <w:kern w:val="18"/>
                <w:sz w:val="18"/>
                <w:szCs w:val="20"/>
                <w:lang w:eastAsia="es-ES"/>
              </w:rPr>
              <w:t>Factor de ponderación (</w:t>
            </w:r>
            <w:r w:rsidRPr="00803AD4">
              <w:rPr>
                <w:rFonts w:eastAsia="Times New Roman"/>
                <w:b/>
                <w:bCs/>
                <w:kern w:val="18"/>
                <w:sz w:val="18"/>
                <w:szCs w:val="20"/>
                <w:lang w:eastAsia="es-ES"/>
              </w:rPr>
              <w:t>E</w:t>
            </w:r>
            <w:r w:rsidRPr="00803AD4">
              <w:rPr>
                <w:rFonts w:eastAsia="Times New Roman"/>
                <w:bCs/>
                <w:kern w:val="18"/>
                <w:sz w:val="18"/>
                <w:szCs w:val="20"/>
                <w:lang w:eastAsia="es-ES"/>
              </w:rPr>
              <w:t>) 0-1</w:t>
            </w:r>
          </w:p>
        </w:tc>
        <w:tc>
          <w:tcPr>
            <w:tcW w:w="1742" w:type="dxa"/>
            <w:shd w:val="clear" w:color="auto" w:fill="auto"/>
            <w:vAlign w:val="center"/>
          </w:tcPr>
          <w:p w14:paraId="47099C56" w14:textId="77777777" w:rsidR="00C37732" w:rsidRPr="00803AD4" w:rsidRDefault="00C37732" w:rsidP="00C37732">
            <w:pPr>
              <w:contextualSpacing/>
              <w:jc w:val="center"/>
              <w:rPr>
                <w:rFonts w:eastAsia="Times New Roman"/>
                <w:bCs/>
                <w:kern w:val="18"/>
                <w:sz w:val="18"/>
                <w:szCs w:val="20"/>
                <w:lang w:eastAsia="es-ES"/>
              </w:rPr>
            </w:pPr>
            <w:r w:rsidRPr="00803AD4">
              <w:rPr>
                <w:rFonts w:eastAsia="Times New Roman"/>
                <w:bCs/>
                <w:kern w:val="18"/>
                <w:sz w:val="18"/>
                <w:szCs w:val="20"/>
                <w:lang w:eastAsia="es-ES"/>
              </w:rPr>
              <w:t>Amenaza total (</w:t>
            </w:r>
            <w:r w:rsidRPr="00803AD4">
              <w:rPr>
                <w:rFonts w:eastAsia="Times New Roman"/>
                <w:b/>
                <w:bCs/>
                <w:kern w:val="18"/>
                <w:sz w:val="18"/>
                <w:szCs w:val="20"/>
                <w:lang w:eastAsia="es-ES"/>
              </w:rPr>
              <w:t>A</w:t>
            </w:r>
            <w:r w:rsidRPr="00803AD4">
              <w:rPr>
                <w:rFonts w:eastAsia="Times New Roman"/>
                <w:bCs/>
                <w:kern w:val="18"/>
                <w:sz w:val="18"/>
                <w:szCs w:val="20"/>
                <w:lang w:eastAsia="es-ES"/>
              </w:rPr>
              <w:t>)</w:t>
            </w:r>
          </w:p>
        </w:tc>
        <w:tc>
          <w:tcPr>
            <w:tcW w:w="966" w:type="dxa"/>
            <w:shd w:val="clear" w:color="auto" w:fill="auto"/>
            <w:vAlign w:val="center"/>
          </w:tcPr>
          <w:p w14:paraId="56BF6C4D" w14:textId="77777777" w:rsidR="00C37732" w:rsidRPr="00803AD4" w:rsidRDefault="00C37732" w:rsidP="00C37732">
            <w:pPr>
              <w:contextualSpacing/>
              <w:jc w:val="center"/>
              <w:rPr>
                <w:rFonts w:eastAsia="Times New Roman"/>
                <w:bCs/>
                <w:kern w:val="18"/>
                <w:sz w:val="18"/>
                <w:szCs w:val="20"/>
                <w:lang w:eastAsia="es-ES"/>
              </w:rPr>
            </w:pPr>
            <w:r w:rsidRPr="00803AD4">
              <w:rPr>
                <w:rFonts w:eastAsia="Times New Roman"/>
                <w:bCs/>
                <w:kern w:val="18"/>
                <w:sz w:val="18"/>
                <w:szCs w:val="20"/>
                <w:lang w:eastAsia="es-ES"/>
              </w:rPr>
              <w:t>Amenaza ponderada (</w:t>
            </w:r>
            <w:r w:rsidRPr="00803AD4">
              <w:rPr>
                <w:rFonts w:eastAsia="Times New Roman"/>
                <w:b/>
                <w:bCs/>
                <w:kern w:val="18"/>
                <w:sz w:val="18"/>
                <w:szCs w:val="20"/>
                <w:lang w:eastAsia="es-ES"/>
              </w:rPr>
              <w:t>A</w:t>
            </w:r>
            <w:r w:rsidRPr="00803AD4">
              <w:rPr>
                <w:rFonts w:eastAsia="Times New Roman"/>
                <w:bCs/>
                <w:kern w:val="18"/>
                <w:sz w:val="18"/>
                <w:szCs w:val="20"/>
                <w:lang w:eastAsia="es-ES"/>
              </w:rPr>
              <w:t>) 0-1</w:t>
            </w:r>
          </w:p>
        </w:tc>
        <w:tc>
          <w:tcPr>
            <w:tcW w:w="2088" w:type="dxa"/>
            <w:shd w:val="clear" w:color="auto" w:fill="auto"/>
            <w:vAlign w:val="center"/>
          </w:tcPr>
          <w:p w14:paraId="08AAB6BE" w14:textId="77777777" w:rsidR="00C37732" w:rsidRPr="00803AD4" w:rsidRDefault="00C37732" w:rsidP="00C37732">
            <w:pPr>
              <w:contextualSpacing/>
              <w:jc w:val="center"/>
              <w:rPr>
                <w:rFonts w:eastAsia="Times New Roman"/>
                <w:bCs/>
                <w:kern w:val="18"/>
                <w:sz w:val="18"/>
                <w:szCs w:val="20"/>
                <w:lang w:eastAsia="es-ES"/>
              </w:rPr>
            </w:pPr>
            <w:r w:rsidRPr="00803AD4">
              <w:rPr>
                <w:rFonts w:eastAsia="Times New Roman"/>
                <w:bCs/>
                <w:kern w:val="18"/>
                <w:sz w:val="18"/>
                <w:szCs w:val="20"/>
                <w:lang w:eastAsia="es-ES"/>
              </w:rPr>
              <w:t>Vulnerabilidad total (</w:t>
            </w:r>
            <w:r w:rsidRPr="00803AD4">
              <w:rPr>
                <w:rFonts w:eastAsia="Times New Roman"/>
                <w:b/>
                <w:bCs/>
                <w:kern w:val="18"/>
                <w:sz w:val="18"/>
                <w:szCs w:val="20"/>
                <w:lang w:eastAsia="es-ES"/>
              </w:rPr>
              <w:t>V</w:t>
            </w:r>
            <w:r w:rsidRPr="00803AD4">
              <w:rPr>
                <w:rFonts w:eastAsia="Times New Roman"/>
                <w:bCs/>
                <w:kern w:val="18"/>
                <w:sz w:val="18"/>
                <w:szCs w:val="20"/>
                <w:lang w:eastAsia="es-ES"/>
              </w:rPr>
              <w:t>)</w:t>
            </w:r>
          </w:p>
        </w:tc>
        <w:tc>
          <w:tcPr>
            <w:tcW w:w="1285" w:type="dxa"/>
            <w:shd w:val="clear" w:color="auto" w:fill="auto"/>
            <w:vAlign w:val="center"/>
          </w:tcPr>
          <w:p w14:paraId="183158AA" w14:textId="77777777" w:rsidR="00C37732" w:rsidRPr="00803AD4" w:rsidRDefault="00C37732" w:rsidP="00C37732">
            <w:pPr>
              <w:contextualSpacing/>
              <w:jc w:val="center"/>
              <w:rPr>
                <w:rFonts w:eastAsia="Times New Roman"/>
                <w:bCs/>
                <w:kern w:val="18"/>
                <w:sz w:val="18"/>
                <w:szCs w:val="20"/>
                <w:lang w:eastAsia="es-ES"/>
              </w:rPr>
            </w:pPr>
            <w:r w:rsidRPr="00803AD4">
              <w:rPr>
                <w:rFonts w:eastAsia="Times New Roman"/>
                <w:bCs/>
                <w:kern w:val="18"/>
                <w:sz w:val="18"/>
                <w:szCs w:val="20"/>
                <w:lang w:eastAsia="es-ES"/>
              </w:rPr>
              <w:t>Vulnerabilidad ponderada (</w:t>
            </w:r>
            <w:r w:rsidRPr="00803AD4">
              <w:rPr>
                <w:rFonts w:eastAsia="Times New Roman"/>
                <w:b/>
                <w:bCs/>
                <w:kern w:val="18"/>
                <w:sz w:val="18"/>
                <w:szCs w:val="20"/>
                <w:lang w:eastAsia="es-ES"/>
              </w:rPr>
              <w:t>V</w:t>
            </w:r>
            <w:r w:rsidRPr="00803AD4">
              <w:rPr>
                <w:rFonts w:eastAsia="Times New Roman"/>
                <w:bCs/>
                <w:kern w:val="18"/>
                <w:sz w:val="18"/>
                <w:szCs w:val="20"/>
                <w:lang w:eastAsia="es-ES"/>
              </w:rPr>
              <w:t>) 0-1</w:t>
            </w:r>
          </w:p>
        </w:tc>
      </w:tr>
      <w:tr w:rsidR="00C37732" w:rsidRPr="00803AD4" w14:paraId="7EFFB484" w14:textId="77777777" w:rsidTr="00C37732">
        <w:trPr>
          <w:jc w:val="center"/>
        </w:trPr>
        <w:tc>
          <w:tcPr>
            <w:tcW w:w="1066" w:type="dxa"/>
            <w:shd w:val="clear" w:color="auto" w:fill="auto"/>
            <w:vAlign w:val="center"/>
          </w:tcPr>
          <w:p w14:paraId="3804B8B6" w14:textId="77777777" w:rsidR="00C37732" w:rsidRPr="00803AD4" w:rsidRDefault="00C37732" w:rsidP="00C37732">
            <w:pPr>
              <w:contextualSpacing/>
              <w:jc w:val="center"/>
              <w:rPr>
                <w:rFonts w:eastAsia="Times New Roman"/>
                <w:bCs/>
                <w:kern w:val="18"/>
                <w:sz w:val="16"/>
                <w:szCs w:val="20"/>
                <w:lang w:eastAsia="es-ES"/>
              </w:rPr>
            </w:pPr>
            <w:r w:rsidRPr="00803AD4">
              <w:rPr>
                <w:rFonts w:eastAsia="Times New Roman"/>
                <w:bCs/>
                <w:sz w:val="16"/>
                <w:szCs w:val="20"/>
                <w:lang w:eastAsia="es-ES"/>
              </w:rPr>
              <w:t>Edificios de alojamiento turístico</w:t>
            </w:r>
          </w:p>
        </w:tc>
        <w:tc>
          <w:tcPr>
            <w:tcW w:w="1106" w:type="dxa"/>
            <w:shd w:val="clear" w:color="auto" w:fill="auto"/>
            <w:vAlign w:val="center"/>
          </w:tcPr>
          <w:p w14:paraId="282EE66D" w14:textId="77777777" w:rsidR="00C37732" w:rsidRPr="00803AD4" w:rsidRDefault="00C37732" w:rsidP="00C37732">
            <w:pPr>
              <w:contextualSpacing/>
              <w:jc w:val="center"/>
              <w:rPr>
                <w:rFonts w:eastAsia="Times New Roman"/>
                <w:b/>
                <w:bCs/>
                <w:kern w:val="18"/>
                <w:sz w:val="16"/>
                <w:szCs w:val="20"/>
                <w:lang w:eastAsia="es-ES"/>
              </w:rPr>
            </w:pPr>
            <w:r w:rsidRPr="00803AD4">
              <w:rPr>
                <w:rFonts w:eastAsia="Times New Roman"/>
                <w:b/>
                <w:bCs/>
                <w:kern w:val="18"/>
                <w:sz w:val="16"/>
                <w:szCs w:val="20"/>
                <w:lang w:eastAsia="es-ES"/>
              </w:rPr>
              <w:t>0,75</w:t>
            </w:r>
          </w:p>
        </w:tc>
        <w:tc>
          <w:tcPr>
            <w:tcW w:w="1742" w:type="dxa"/>
            <w:shd w:val="clear" w:color="auto" w:fill="auto"/>
            <w:vAlign w:val="center"/>
          </w:tcPr>
          <w:p w14:paraId="2A4AA1F1" w14:textId="77777777" w:rsidR="00C37732" w:rsidRPr="00803AD4" w:rsidRDefault="00C37732" w:rsidP="00C37732">
            <w:pPr>
              <w:numPr>
                <w:ilvl w:val="0"/>
                <w:numId w:val="15"/>
              </w:numPr>
              <w:ind w:left="167" w:hanging="122"/>
              <w:contextualSpacing/>
              <w:jc w:val="center"/>
              <w:rPr>
                <w:rFonts w:eastAsia="Times New Roman"/>
                <w:bCs/>
                <w:kern w:val="18"/>
                <w:sz w:val="16"/>
                <w:szCs w:val="20"/>
                <w:lang w:eastAsia="es-ES"/>
              </w:rPr>
            </w:pPr>
            <w:r w:rsidRPr="00803AD4">
              <w:rPr>
                <w:rFonts w:eastAsia="Times New Roman"/>
                <w:bCs/>
                <w:kern w:val="18"/>
                <w:sz w:val="16"/>
                <w:szCs w:val="20"/>
                <w:lang w:eastAsia="es-ES"/>
              </w:rPr>
              <w:t>Afectado por cauce= +1</w:t>
            </w:r>
          </w:p>
          <w:p w14:paraId="0C3352D3" w14:textId="77777777" w:rsidR="00C37732" w:rsidRPr="00803AD4" w:rsidRDefault="00C37732" w:rsidP="00C37732">
            <w:pPr>
              <w:numPr>
                <w:ilvl w:val="0"/>
                <w:numId w:val="15"/>
              </w:numPr>
              <w:ind w:left="167" w:hanging="122"/>
              <w:contextualSpacing/>
              <w:jc w:val="center"/>
              <w:rPr>
                <w:rFonts w:eastAsia="Times New Roman"/>
                <w:bCs/>
                <w:kern w:val="18"/>
                <w:sz w:val="16"/>
                <w:szCs w:val="20"/>
                <w:lang w:eastAsia="es-ES"/>
              </w:rPr>
            </w:pPr>
            <w:r w:rsidRPr="00803AD4">
              <w:rPr>
                <w:rFonts w:eastAsia="Times New Roman"/>
                <w:bCs/>
                <w:kern w:val="18"/>
                <w:sz w:val="16"/>
                <w:szCs w:val="20"/>
                <w:lang w:eastAsia="es-ES"/>
              </w:rPr>
              <w:t>Daños Constatado en Prensa= +2</w:t>
            </w:r>
          </w:p>
          <w:p w14:paraId="27FD2BF1" w14:textId="77777777" w:rsidR="00C37732" w:rsidRPr="00803AD4" w:rsidRDefault="00C37732" w:rsidP="00C37732">
            <w:pPr>
              <w:numPr>
                <w:ilvl w:val="0"/>
                <w:numId w:val="15"/>
              </w:numPr>
              <w:ind w:left="167" w:hanging="122"/>
              <w:contextualSpacing/>
              <w:jc w:val="center"/>
              <w:rPr>
                <w:rFonts w:eastAsia="Times New Roman"/>
                <w:bCs/>
                <w:kern w:val="18"/>
                <w:sz w:val="16"/>
                <w:szCs w:val="20"/>
                <w:lang w:eastAsia="es-ES"/>
              </w:rPr>
            </w:pPr>
            <w:r w:rsidRPr="00803AD4">
              <w:rPr>
                <w:rFonts w:eastAsia="Times New Roman"/>
                <w:bCs/>
                <w:kern w:val="18"/>
                <w:sz w:val="16"/>
                <w:szCs w:val="20"/>
                <w:lang w:eastAsia="es-ES"/>
              </w:rPr>
              <w:t>Pendiente de 18º= +0,5</w:t>
            </w:r>
          </w:p>
          <w:p w14:paraId="368B7460" w14:textId="77777777" w:rsidR="00C37732" w:rsidRPr="00803AD4" w:rsidRDefault="00C37732" w:rsidP="00C37732">
            <w:pPr>
              <w:contextualSpacing/>
              <w:jc w:val="center"/>
              <w:rPr>
                <w:rFonts w:eastAsia="Times New Roman"/>
                <w:b/>
                <w:bCs/>
                <w:kern w:val="18"/>
                <w:sz w:val="16"/>
                <w:szCs w:val="20"/>
                <w:lang w:eastAsia="es-ES"/>
              </w:rPr>
            </w:pPr>
            <w:r w:rsidRPr="00803AD4">
              <w:rPr>
                <w:rFonts w:eastAsia="Times New Roman"/>
                <w:b/>
                <w:bCs/>
                <w:kern w:val="18"/>
                <w:sz w:val="16"/>
                <w:szCs w:val="20"/>
                <w:lang w:eastAsia="es-ES"/>
              </w:rPr>
              <w:t>TOTAL=3,5</w:t>
            </w:r>
          </w:p>
        </w:tc>
        <w:tc>
          <w:tcPr>
            <w:tcW w:w="966" w:type="dxa"/>
            <w:shd w:val="clear" w:color="auto" w:fill="auto"/>
            <w:vAlign w:val="center"/>
          </w:tcPr>
          <w:p w14:paraId="1EFC46B7" w14:textId="77777777" w:rsidR="00C37732" w:rsidRPr="00803AD4" w:rsidRDefault="00C37732" w:rsidP="00C37732">
            <w:pPr>
              <w:contextualSpacing/>
              <w:jc w:val="center"/>
              <w:rPr>
                <w:rFonts w:eastAsia="Times New Roman"/>
                <w:b/>
                <w:bCs/>
                <w:kern w:val="18"/>
                <w:sz w:val="16"/>
                <w:szCs w:val="20"/>
                <w:lang w:eastAsia="es-ES"/>
              </w:rPr>
            </w:pPr>
            <w:r w:rsidRPr="00803AD4">
              <w:rPr>
                <w:rFonts w:eastAsia="Times New Roman"/>
                <w:b/>
                <w:bCs/>
                <w:kern w:val="18"/>
                <w:sz w:val="16"/>
                <w:szCs w:val="20"/>
                <w:lang w:eastAsia="es-ES"/>
              </w:rPr>
              <w:t>0,33</w:t>
            </w:r>
          </w:p>
        </w:tc>
        <w:tc>
          <w:tcPr>
            <w:tcW w:w="2088" w:type="dxa"/>
            <w:shd w:val="clear" w:color="auto" w:fill="auto"/>
            <w:vAlign w:val="center"/>
          </w:tcPr>
          <w:p w14:paraId="4F31AB07" w14:textId="77777777" w:rsidR="00C37732" w:rsidRPr="00803AD4" w:rsidRDefault="00C37732" w:rsidP="00C37732">
            <w:pPr>
              <w:numPr>
                <w:ilvl w:val="0"/>
                <w:numId w:val="16"/>
              </w:numPr>
              <w:ind w:left="302" w:hanging="184"/>
              <w:contextualSpacing/>
              <w:jc w:val="center"/>
              <w:rPr>
                <w:rFonts w:eastAsia="Times New Roman"/>
                <w:bCs/>
                <w:kern w:val="18"/>
                <w:sz w:val="16"/>
                <w:szCs w:val="20"/>
                <w:lang w:eastAsia="es-ES"/>
              </w:rPr>
            </w:pPr>
            <w:r w:rsidRPr="00803AD4">
              <w:rPr>
                <w:rFonts w:eastAsia="Times New Roman"/>
                <w:bCs/>
                <w:kern w:val="18"/>
                <w:sz w:val="16"/>
                <w:szCs w:val="20"/>
                <w:lang w:eastAsia="es-ES"/>
              </w:rPr>
              <w:t>Presenta una superficie bajo rasante de 1000m</w:t>
            </w:r>
            <w:r w:rsidRPr="00803AD4">
              <w:rPr>
                <w:rFonts w:eastAsia="Times New Roman"/>
                <w:bCs/>
                <w:kern w:val="18"/>
                <w:sz w:val="16"/>
                <w:szCs w:val="20"/>
                <w:vertAlign w:val="superscript"/>
                <w:lang w:eastAsia="es-ES"/>
              </w:rPr>
              <w:t>2</w:t>
            </w:r>
            <w:r w:rsidRPr="00803AD4">
              <w:rPr>
                <w:rFonts w:eastAsia="Times New Roman"/>
                <w:bCs/>
                <w:kern w:val="18"/>
                <w:sz w:val="16"/>
                <w:szCs w:val="20"/>
                <w:lang w:eastAsia="es-ES"/>
              </w:rPr>
              <w:t>= +0,75</w:t>
            </w:r>
          </w:p>
          <w:p w14:paraId="3F7B0F7F" w14:textId="77777777" w:rsidR="00C37732" w:rsidRPr="00803AD4" w:rsidRDefault="00C37732" w:rsidP="00C37732">
            <w:pPr>
              <w:numPr>
                <w:ilvl w:val="0"/>
                <w:numId w:val="16"/>
              </w:numPr>
              <w:ind w:left="302" w:hanging="184"/>
              <w:contextualSpacing/>
              <w:jc w:val="center"/>
              <w:rPr>
                <w:rFonts w:eastAsia="Times New Roman"/>
                <w:bCs/>
                <w:kern w:val="18"/>
                <w:sz w:val="16"/>
                <w:szCs w:val="20"/>
                <w:lang w:eastAsia="es-ES"/>
              </w:rPr>
            </w:pPr>
            <w:r w:rsidRPr="00803AD4">
              <w:rPr>
                <w:rFonts w:eastAsia="Times New Roman"/>
                <w:bCs/>
                <w:kern w:val="18"/>
                <w:sz w:val="16"/>
                <w:szCs w:val="20"/>
                <w:lang w:eastAsia="es-ES"/>
              </w:rPr>
              <w:t>Presenta 250 plazas de garaje = +0,5</w:t>
            </w:r>
          </w:p>
          <w:p w14:paraId="6F0E60D0" w14:textId="77777777" w:rsidR="00C37732" w:rsidRPr="00803AD4" w:rsidRDefault="00C37732" w:rsidP="00C37732">
            <w:pPr>
              <w:numPr>
                <w:ilvl w:val="0"/>
                <w:numId w:val="16"/>
              </w:numPr>
              <w:ind w:left="302" w:hanging="184"/>
              <w:contextualSpacing/>
              <w:jc w:val="center"/>
              <w:rPr>
                <w:rFonts w:eastAsia="Times New Roman"/>
                <w:bCs/>
                <w:kern w:val="18"/>
                <w:sz w:val="16"/>
                <w:szCs w:val="20"/>
                <w:lang w:eastAsia="es-ES"/>
              </w:rPr>
            </w:pPr>
            <w:r w:rsidRPr="00803AD4">
              <w:rPr>
                <w:rFonts w:eastAsia="Times New Roman"/>
                <w:bCs/>
                <w:kern w:val="18"/>
                <w:sz w:val="16"/>
                <w:szCs w:val="20"/>
                <w:lang w:eastAsia="es-ES"/>
              </w:rPr>
              <w:t>Presenta un total de 11 comercios= +0,15</w:t>
            </w:r>
          </w:p>
          <w:p w14:paraId="15A4F810" w14:textId="77777777" w:rsidR="00C37732" w:rsidRPr="00803AD4" w:rsidRDefault="00C37732" w:rsidP="00C37732">
            <w:pPr>
              <w:contextualSpacing/>
              <w:jc w:val="center"/>
              <w:rPr>
                <w:rFonts w:eastAsia="Times New Roman"/>
                <w:b/>
                <w:bCs/>
                <w:kern w:val="18"/>
                <w:sz w:val="16"/>
                <w:szCs w:val="20"/>
                <w:lang w:eastAsia="es-ES"/>
              </w:rPr>
            </w:pPr>
            <w:r w:rsidRPr="00803AD4">
              <w:rPr>
                <w:rFonts w:eastAsia="Times New Roman"/>
                <w:b/>
                <w:bCs/>
                <w:kern w:val="18"/>
                <w:sz w:val="16"/>
                <w:szCs w:val="20"/>
                <w:lang w:eastAsia="es-ES"/>
              </w:rPr>
              <w:t>TOTAL=1,4</w:t>
            </w:r>
          </w:p>
        </w:tc>
        <w:tc>
          <w:tcPr>
            <w:tcW w:w="1285" w:type="dxa"/>
            <w:shd w:val="clear" w:color="auto" w:fill="auto"/>
            <w:vAlign w:val="center"/>
          </w:tcPr>
          <w:p w14:paraId="74CD31E3" w14:textId="77777777" w:rsidR="00C37732" w:rsidRPr="00803AD4" w:rsidRDefault="00C37732" w:rsidP="00C37732">
            <w:pPr>
              <w:contextualSpacing/>
              <w:jc w:val="center"/>
              <w:rPr>
                <w:rFonts w:eastAsia="Times New Roman"/>
                <w:b/>
                <w:bCs/>
                <w:kern w:val="18"/>
                <w:sz w:val="16"/>
                <w:szCs w:val="20"/>
                <w:lang w:eastAsia="es-ES"/>
              </w:rPr>
            </w:pPr>
            <w:r w:rsidRPr="00803AD4">
              <w:rPr>
                <w:rFonts w:eastAsia="Times New Roman"/>
                <w:b/>
                <w:bCs/>
                <w:kern w:val="18"/>
                <w:sz w:val="16"/>
                <w:szCs w:val="20"/>
                <w:lang w:eastAsia="es-ES"/>
              </w:rPr>
              <w:t>0,26</w:t>
            </w:r>
          </w:p>
        </w:tc>
      </w:tr>
      <w:bookmarkEnd w:id="0"/>
    </w:tbl>
    <w:p w14:paraId="1C97478A" w14:textId="77777777" w:rsidR="00AE1ADB" w:rsidRDefault="00AE1ADB" w:rsidP="00AE1ADB">
      <w:pPr>
        <w:spacing w:line="276" w:lineRule="auto"/>
        <w:contextualSpacing/>
        <w:jc w:val="center"/>
        <w:rPr>
          <w:rFonts w:eastAsia="Times New Roman"/>
          <w:szCs w:val="20"/>
          <w:lang w:eastAsia="es-ES"/>
        </w:rPr>
      </w:pPr>
    </w:p>
    <w:p w14:paraId="7FEAEC3C" w14:textId="1DC6DAC7" w:rsidR="00AE1ADB" w:rsidRDefault="00AE1ADB" w:rsidP="00AE1ADB">
      <w:pPr>
        <w:spacing w:line="276" w:lineRule="auto"/>
        <w:contextualSpacing/>
        <w:jc w:val="center"/>
        <w:rPr>
          <w:rFonts w:eastAsia="Times New Roman"/>
          <w:bCs/>
          <w:kern w:val="18"/>
          <w:szCs w:val="20"/>
          <w:lang w:eastAsia="es-ES"/>
        </w:rPr>
      </w:pPr>
      <w:r w:rsidRPr="00803AD4">
        <w:rPr>
          <w:rFonts w:eastAsia="Times New Roman"/>
          <w:szCs w:val="20"/>
          <w:lang w:eastAsia="es-ES"/>
        </w:rPr>
        <w:t xml:space="preserve">Tabla 3. Cálculo de la </w:t>
      </w:r>
      <w:r w:rsidRPr="00CF4B62">
        <w:rPr>
          <w:rFonts w:eastAsia="Times New Roman"/>
          <w:szCs w:val="20"/>
          <w:lang w:eastAsia="es-ES"/>
        </w:rPr>
        <w:t>v</w:t>
      </w:r>
      <w:r w:rsidRPr="00803AD4">
        <w:rPr>
          <w:rFonts w:eastAsia="Times New Roman"/>
          <w:szCs w:val="20"/>
          <w:lang w:eastAsia="es-ES"/>
        </w:rPr>
        <w:t>ulnerabilidad total (</w:t>
      </w:r>
      <w:proofErr w:type="spellStart"/>
      <w:r w:rsidRPr="00803AD4">
        <w:rPr>
          <w:rFonts w:eastAsia="Times New Roman"/>
          <w:szCs w:val="20"/>
          <w:lang w:eastAsia="es-ES"/>
        </w:rPr>
        <w:t>Vt</w:t>
      </w:r>
      <w:proofErr w:type="spellEnd"/>
      <w:r w:rsidRPr="00803AD4">
        <w:rPr>
          <w:rFonts w:eastAsia="Times New Roman"/>
          <w:szCs w:val="20"/>
          <w:lang w:eastAsia="es-ES"/>
        </w:rPr>
        <w:t>) para una parcela catastral</w:t>
      </w:r>
      <w:r>
        <w:rPr>
          <w:rFonts w:eastAsia="Times New Roman"/>
          <w:szCs w:val="20"/>
          <w:lang w:eastAsia="es-ES"/>
        </w:rPr>
        <w:t xml:space="preserve"> </w:t>
      </w:r>
      <w:r w:rsidRPr="00CF4B62">
        <w:rPr>
          <w:rFonts w:eastAsia="Times New Roman"/>
          <w:szCs w:val="20"/>
          <w:lang w:eastAsia="es-ES"/>
        </w:rPr>
        <w:t>de uso de alojamiento turístico</w:t>
      </w:r>
      <w:r>
        <w:rPr>
          <w:rFonts w:eastAsia="Times New Roman"/>
          <w:bCs/>
          <w:kern w:val="18"/>
          <w:szCs w:val="20"/>
          <w:lang w:eastAsia="es-ES"/>
        </w:rPr>
        <w:t xml:space="preserve">. </w:t>
      </w:r>
      <w:r w:rsidRPr="00803AD4">
        <w:rPr>
          <w:rFonts w:eastAsia="Times New Roman"/>
          <w:bCs/>
          <w:kern w:val="18"/>
          <w:szCs w:val="20"/>
          <w:lang w:eastAsia="es-ES"/>
        </w:rPr>
        <w:t>Fuente: Elaboración propia</w:t>
      </w:r>
      <w:r>
        <w:rPr>
          <w:rFonts w:eastAsia="Times New Roman"/>
          <w:bCs/>
          <w:kern w:val="18"/>
          <w:szCs w:val="20"/>
          <w:lang w:eastAsia="es-ES"/>
        </w:rPr>
        <w:t>.</w:t>
      </w:r>
    </w:p>
    <w:p w14:paraId="32BD3140" w14:textId="77777777" w:rsidR="00C37732" w:rsidRPr="00803AD4" w:rsidRDefault="00C37732" w:rsidP="00C37732">
      <w:pPr>
        <w:ind w:firstLine="708"/>
        <w:contextualSpacing/>
        <w:jc w:val="both"/>
        <w:rPr>
          <w:rFonts w:eastAsia="Times New Roman"/>
          <w:bCs/>
          <w:kern w:val="18"/>
          <w:lang w:eastAsia="es-ES"/>
        </w:rPr>
      </w:pPr>
    </w:p>
    <w:p w14:paraId="1F17437C" w14:textId="77777777" w:rsidR="00C37732" w:rsidRPr="00803AD4" w:rsidRDefault="00C37732" w:rsidP="00115252">
      <w:pPr>
        <w:ind w:firstLine="426"/>
        <w:contextualSpacing/>
        <w:jc w:val="both"/>
        <w:rPr>
          <w:rFonts w:eastAsia="Times New Roman"/>
          <w:bCs/>
          <w:kern w:val="18"/>
          <w:lang w:eastAsia="es-ES"/>
        </w:rPr>
      </w:pPr>
      <w:r w:rsidRPr="00CF4B62">
        <w:rPr>
          <w:rFonts w:eastAsia="Times New Roman"/>
          <w:bCs/>
          <w:kern w:val="18"/>
          <w:lang w:eastAsia="es-ES"/>
        </w:rPr>
        <w:t>En definitiva</w:t>
      </w:r>
      <w:r>
        <w:rPr>
          <w:rFonts w:eastAsia="Times New Roman"/>
          <w:bCs/>
          <w:kern w:val="18"/>
          <w:lang w:eastAsia="es-ES"/>
        </w:rPr>
        <w:t xml:space="preserve">, </w:t>
      </w:r>
      <w:r w:rsidRPr="00803AD4">
        <w:rPr>
          <w:rFonts w:eastAsia="Times New Roman"/>
          <w:bCs/>
          <w:kern w:val="18"/>
          <w:lang w:eastAsia="es-ES"/>
        </w:rPr>
        <w:t xml:space="preserve">para el cálculo de la vulnerabilidad específica </w:t>
      </w:r>
      <w:r w:rsidRPr="00D13470">
        <w:rPr>
          <w:rFonts w:eastAsia="Times New Roman"/>
          <w:bCs/>
          <w:kern w:val="18"/>
          <w:lang w:eastAsia="es-ES"/>
        </w:rPr>
        <w:t>(</w:t>
      </w:r>
      <w:proofErr w:type="spellStart"/>
      <w:r w:rsidRPr="00D13470">
        <w:rPr>
          <w:rFonts w:eastAsia="Times New Roman"/>
          <w:bCs/>
          <w:kern w:val="18"/>
          <w:lang w:eastAsia="es-ES"/>
        </w:rPr>
        <w:t>Vt</w:t>
      </w:r>
      <w:proofErr w:type="spellEnd"/>
      <w:r w:rsidRPr="00D13470">
        <w:rPr>
          <w:rFonts w:eastAsia="Times New Roman"/>
          <w:bCs/>
          <w:kern w:val="18"/>
          <w:lang w:eastAsia="es-ES"/>
        </w:rPr>
        <w:t xml:space="preserve">=E*A*V) </w:t>
      </w:r>
      <w:r w:rsidRPr="00803AD4">
        <w:rPr>
          <w:rFonts w:eastAsia="Times New Roman"/>
          <w:bCs/>
          <w:kern w:val="18"/>
          <w:lang w:eastAsia="es-ES"/>
        </w:rPr>
        <w:t xml:space="preserve">se emplearía el producto del elemento vulnerable por la amenaza </w:t>
      </w:r>
      <w:r w:rsidRPr="00CF4B62">
        <w:rPr>
          <w:rFonts w:eastAsia="Times New Roman"/>
          <w:bCs/>
          <w:kern w:val="18"/>
          <w:lang w:eastAsia="es-ES"/>
        </w:rPr>
        <w:t>ponderada</w:t>
      </w:r>
      <w:r>
        <w:rPr>
          <w:rFonts w:eastAsia="Times New Roman"/>
          <w:bCs/>
          <w:kern w:val="18"/>
          <w:lang w:eastAsia="es-ES"/>
        </w:rPr>
        <w:t xml:space="preserve"> </w:t>
      </w:r>
      <w:r w:rsidRPr="00803AD4">
        <w:rPr>
          <w:rFonts w:eastAsia="Times New Roman"/>
          <w:bCs/>
          <w:kern w:val="18"/>
          <w:lang w:eastAsia="es-ES"/>
        </w:rPr>
        <w:t xml:space="preserve">y por la vulnerabilidad ponderada. </w:t>
      </w:r>
      <w:r>
        <w:rPr>
          <w:rFonts w:eastAsia="Times New Roman"/>
          <w:bCs/>
          <w:kern w:val="18"/>
          <w:lang w:eastAsia="es-ES"/>
        </w:rPr>
        <w:t>E</w:t>
      </w:r>
      <w:r w:rsidRPr="00803AD4">
        <w:rPr>
          <w:rFonts w:eastAsia="Times New Roman"/>
          <w:bCs/>
          <w:kern w:val="18"/>
          <w:lang w:eastAsia="es-ES"/>
        </w:rPr>
        <w:t xml:space="preserve">l resultado final </w:t>
      </w:r>
      <w:r w:rsidRPr="00CF4B62">
        <w:rPr>
          <w:rFonts w:eastAsia="Times New Roman"/>
          <w:bCs/>
          <w:kern w:val="18"/>
          <w:lang w:eastAsia="es-ES"/>
        </w:rPr>
        <w:t>del ejercicio realizado</w:t>
      </w:r>
      <w:r>
        <w:rPr>
          <w:rFonts w:eastAsia="Times New Roman"/>
          <w:bCs/>
          <w:kern w:val="18"/>
          <w:lang w:eastAsia="es-ES"/>
        </w:rPr>
        <w:t xml:space="preserve"> </w:t>
      </w:r>
      <w:r w:rsidRPr="00803AD4">
        <w:rPr>
          <w:rFonts w:eastAsia="Times New Roman"/>
          <w:bCs/>
          <w:kern w:val="18"/>
          <w:lang w:eastAsia="es-ES"/>
        </w:rPr>
        <w:t xml:space="preserve">sería de 0,06, </w:t>
      </w:r>
      <w:r w:rsidRPr="00CF4B62">
        <w:rPr>
          <w:rFonts w:eastAsia="Times New Roman"/>
          <w:bCs/>
          <w:kern w:val="18"/>
          <w:lang w:eastAsia="es-ES"/>
        </w:rPr>
        <w:t>valor indicativo</w:t>
      </w:r>
      <w:r>
        <w:rPr>
          <w:rFonts w:eastAsia="Times New Roman"/>
          <w:bCs/>
          <w:kern w:val="18"/>
          <w:lang w:eastAsia="es-ES"/>
        </w:rPr>
        <w:t xml:space="preserve"> de </w:t>
      </w:r>
      <w:r w:rsidRPr="00803AD4">
        <w:rPr>
          <w:rFonts w:eastAsia="Times New Roman"/>
          <w:bCs/>
          <w:kern w:val="18"/>
          <w:lang w:eastAsia="es-ES"/>
        </w:rPr>
        <w:t>un índice de vulnerabilidad bajo.</w:t>
      </w:r>
    </w:p>
    <w:p w14:paraId="31E21010" w14:textId="77777777" w:rsidR="00C37732" w:rsidRDefault="00C37732" w:rsidP="00C37732">
      <w:pPr>
        <w:ind w:firstLine="709"/>
        <w:contextualSpacing/>
        <w:jc w:val="both"/>
        <w:rPr>
          <w:rFonts w:eastAsia="Times New Roman"/>
          <w:bCs/>
          <w:kern w:val="18"/>
          <w:lang w:eastAsia="es-ES"/>
        </w:rPr>
      </w:pPr>
    </w:p>
    <w:p w14:paraId="488EF8A6" w14:textId="77777777" w:rsidR="00C37732" w:rsidRPr="003A5762" w:rsidRDefault="00C37732" w:rsidP="00C37732">
      <w:pPr>
        <w:contextualSpacing/>
        <w:jc w:val="both"/>
        <w:rPr>
          <w:rFonts w:eastAsia="Times New Roman"/>
          <w:b/>
          <w:bCs/>
          <w:kern w:val="18"/>
          <w:lang w:eastAsia="es-ES"/>
        </w:rPr>
      </w:pPr>
      <w:r>
        <w:rPr>
          <w:rFonts w:eastAsia="Times New Roman"/>
          <w:b/>
          <w:bCs/>
          <w:kern w:val="18"/>
          <w:lang w:eastAsia="es-ES"/>
        </w:rPr>
        <w:t xml:space="preserve">4. </w:t>
      </w:r>
      <w:r w:rsidRPr="003A5762">
        <w:rPr>
          <w:rFonts w:eastAsia="Times New Roman"/>
          <w:b/>
          <w:bCs/>
          <w:kern w:val="18"/>
          <w:lang w:eastAsia="es-ES"/>
        </w:rPr>
        <w:t>RESULTADOS</w:t>
      </w:r>
    </w:p>
    <w:p w14:paraId="2FE5D30B" w14:textId="77777777" w:rsidR="00C37732" w:rsidRDefault="00C37732" w:rsidP="00754B0E">
      <w:pPr>
        <w:ind w:firstLine="426"/>
        <w:contextualSpacing/>
        <w:jc w:val="both"/>
        <w:rPr>
          <w:rFonts w:eastAsia="Times New Roman"/>
          <w:bCs/>
          <w:kern w:val="18"/>
          <w:lang w:eastAsia="es-ES"/>
        </w:rPr>
      </w:pPr>
      <w:r w:rsidRPr="00D727AE">
        <w:rPr>
          <w:rFonts w:eastAsia="Times New Roman"/>
          <w:bCs/>
          <w:kern w:val="18"/>
          <w:lang w:eastAsia="es-ES"/>
        </w:rPr>
        <w:t>El trabajo realizado permite la identificación de 59 episodios de inundación</w:t>
      </w:r>
      <w:r>
        <w:rPr>
          <w:rFonts w:eastAsia="Times New Roman"/>
          <w:bCs/>
          <w:kern w:val="18"/>
          <w:lang w:eastAsia="es-ES"/>
        </w:rPr>
        <w:t xml:space="preserve">, de los que 31 causan daños importantes, según información de la prensa. Además, </w:t>
      </w:r>
      <w:r w:rsidRPr="00D727AE">
        <w:rPr>
          <w:rFonts w:eastAsia="Times New Roman"/>
          <w:bCs/>
          <w:kern w:val="18"/>
          <w:lang w:eastAsia="es-ES"/>
        </w:rPr>
        <w:t>se localizan y cartografían</w:t>
      </w:r>
      <w:r>
        <w:rPr>
          <w:rFonts w:eastAsia="Times New Roman"/>
          <w:bCs/>
          <w:kern w:val="18"/>
          <w:lang w:eastAsia="es-ES"/>
        </w:rPr>
        <w:t xml:space="preserve"> 65 enclaves concretos con prob</w:t>
      </w:r>
      <w:r w:rsidRPr="003E0B07">
        <w:rPr>
          <w:rFonts w:eastAsia="Times New Roman"/>
          <w:bCs/>
          <w:kern w:val="18"/>
          <w:lang w:eastAsia="es-ES"/>
        </w:rPr>
        <w:t>lemas de</w:t>
      </w:r>
      <w:r>
        <w:rPr>
          <w:rFonts w:eastAsia="Times New Roman"/>
          <w:bCs/>
          <w:kern w:val="18"/>
          <w:lang w:eastAsia="es-ES"/>
        </w:rPr>
        <w:t xml:space="preserve"> avenida y/o</w:t>
      </w:r>
      <w:r w:rsidRPr="003E0B07">
        <w:rPr>
          <w:rFonts w:eastAsia="Times New Roman"/>
          <w:bCs/>
          <w:kern w:val="18"/>
          <w:lang w:eastAsia="es-ES"/>
        </w:rPr>
        <w:t xml:space="preserve"> inundación</w:t>
      </w:r>
      <w:r>
        <w:rPr>
          <w:rFonts w:eastAsia="Times New Roman"/>
          <w:bCs/>
          <w:kern w:val="18"/>
          <w:lang w:eastAsia="es-ES"/>
        </w:rPr>
        <w:t>, con diferentes niveles de recurrencia. Sirva aquí el ejemplo del cruce de la Autopista (TF1) a la altura de Torviscas, donde la prensa menciona inundaciones e impactos en 5 de los 59 episodios analizados (Figura 4).</w:t>
      </w:r>
    </w:p>
    <w:p w14:paraId="1EDE2590" w14:textId="77777777" w:rsidR="00C37732" w:rsidRDefault="00C37732" w:rsidP="00754B0E">
      <w:pPr>
        <w:ind w:firstLine="426"/>
        <w:contextualSpacing/>
        <w:jc w:val="both"/>
        <w:rPr>
          <w:rFonts w:eastAsia="Times New Roman"/>
          <w:bCs/>
          <w:kern w:val="18"/>
          <w:lang w:eastAsia="es-ES"/>
        </w:rPr>
      </w:pPr>
      <w:r>
        <w:rPr>
          <w:rFonts w:eastAsia="Times New Roman"/>
          <w:bCs/>
          <w:kern w:val="18"/>
          <w:lang w:eastAsia="es-ES"/>
        </w:rPr>
        <w:t xml:space="preserve">La aplicación de la metodología diseñada al área de estudio se concreta en </w:t>
      </w:r>
      <w:r w:rsidRPr="003E0B07">
        <w:rPr>
          <w:rFonts w:eastAsia="Times New Roman"/>
          <w:bCs/>
          <w:kern w:val="18"/>
          <w:lang w:eastAsia="es-ES"/>
        </w:rPr>
        <w:t>un índice con representación cartográfica a escala de parcela catastral</w:t>
      </w:r>
      <w:r>
        <w:rPr>
          <w:rFonts w:eastAsia="Times New Roman"/>
          <w:bCs/>
          <w:kern w:val="18"/>
          <w:lang w:eastAsia="es-ES"/>
        </w:rPr>
        <w:t>.</w:t>
      </w:r>
      <w:r w:rsidRPr="002A7808">
        <w:rPr>
          <w:rFonts w:eastAsia="Times New Roman"/>
          <w:bCs/>
          <w:kern w:val="18"/>
          <w:lang w:eastAsia="es-ES"/>
        </w:rPr>
        <w:t xml:space="preserve"> </w:t>
      </w:r>
      <w:r w:rsidRPr="003E0B07">
        <w:rPr>
          <w:rFonts w:eastAsia="Times New Roman"/>
          <w:bCs/>
          <w:kern w:val="18"/>
          <w:lang w:eastAsia="es-ES"/>
        </w:rPr>
        <w:t xml:space="preserve">De acuerdo </w:t>
      </w:r>
      <w:r>
        <w:rPr>
          <w:rFonts w:eastAsia="Times New Roman"/>
          <w:bCs/>
          <w:kern w:val="18"/>
          <w:lang w:eastAsia="es-ES"/>
        </w:rPr>
        <w:t xml:space="preserve">con el </w:t>
      </w:r>
      <w:r w:rsidRPr="003E0B07">
        <w:rPr>
          <w:rFonts w:eastAsia="Times New Roman"/>
          <w:bCs/>
          <w:kern w:val="18"/>
          <w:lang w:eastAsia="es-ES"/>
        </w:rPr>
        <w:t xml:space="preserve">difundido método de </w:t>
      </w:r>
      <w:proofErr w:type="spellStart"/>
      <w:r w:rsidRPr="003E0B07">
        <w:rPr>
          <w:rFonts w:eastAsia="Times New Roman"/>
          <w:bCs/>
          <w:kern w:val="18"/>
          <w:lang w:eastAsia="es-ES"/>
        </w:rPr>
        <w:t>Jenks</w:t>
      </w:r>
      <w:proofErr w:type="spellEnd"/>
      <w:r w:rsidRPr="003E0B07">
        <w:rPr>
          <w:rFonts w:eastAsia="Times New Roman"/>
          <w:bCs/>
          <w:kern w:val="18"/>
          <w:lang w:eastAsia="es-ES"/>
        </w:rPr>
        <w:t xml:space="preserve"> (1967)</w:t>
      </w:r>
      <w:r>
        <w:rPr>
          <w:rFonts w:eastAsia="Times New Roman"/>
          <w:bCs/>
          <w:kern w:val="18"/>
          <w:lang w:eastAsia="es-ES"/>
        </w:rPr>
        <w:t>, la</w:t>
      </w:r>
      <w:r w:rsidRPr="003E0B07">
        <w:rPr>
          <w:rFonts w:eastAsia="Times New Roman"/>
          <w:bCs/>
          <w:kern w:val="18"/>
          <w:lang w:eastAsia="es-ES"/>
        </w:rPr>
        <w:t xml:space="preserve"> </w:t>
      </w:r>
      <w:r>
        <w:rPr>
          <w:rFonts w:eastAsia="Times New Roman"/>
          <w:bCs/>
          <w:kern w:val="18"/>
          <w:lang w:eastAsia="es-ES"/>
        </w:rPr>
        <w:t>f</w:t>
      </w:r>
      <w:r w:rsidRPr="003E0B07">
        <w:rPr>
          <w:rFonts w:eastAsia="Times New Roman"/>
          <w:bCs/>
          <w:kern w:val="18"/>
          <w:lang w:eastAsia="es-ES"/>
        </w:rPr>
        <w:t xml:space="preserve">igura </w:t>
      </w:r>
      <w:r>
        <w:rPr>
          <w:rFonts w:eastAsia="Times New Roman"/>
          <w:bCs/>
          <w:kern w:val="18"/>
          <w:lang w:eastAsia="es-ES"/>
        </w:rPr>
        <w:t xml:space="preserve">5 muestra la clasificación </w:t>
      </w:r>
      <w:r w:rsidRPr="003E0B07">
        <w:rPr>
          <w:rFonts w:eastAsia="Times New Roman"/>
          <w:bCs/>
          <w:kern w:val="18"/>
          <w:lang w:eastAsia="es-ES"/>
        </w:rPr>
        <w:t>del índice de vulnerabilidad en intervalos de ruptura natural</w:t>
      </w:r>
      <w:r>
        <w:rPr>
          <w:rFonts w:eastAsia="Times New Roman"/>
          <w:bCs/>
          <w:kern w:val="18"/>
          <w:lang w:eastAsia="es-ES"/>
        </w:rPr>
        <w:t>,</w:t>
      </w:r>
      <w:r w:rsidRPr="003E0B07">
        <w:rPr>
          <w:rFonts w:eastAsia="Times New Roman"/>
          <w:bCs/>
          <w:kern w:val="18"/>
          <w:lang w:eastAsia="es-ES"/>
        </w:rPr>
        <w:t xml:space="preserve"> </w:t>
      </w:r>
      <w:r>
        <w:rPr>
          <w:rFonts w:eastAsia="Times New Roman"/>
          <w:bCs/>
          <w:kern w:val="18"/>
          <w:lang w:eastAsia="es-ES"/>
        </w:rPr>
        <w:t xml:space="preserve">con valores que oscilan entre un mínimo de 0,00-0,03 y un máximo &gt;0,30. Su representación gráfica se hace mediante los </w:t>
      </w:r>
      <w:r w:rsidRPr="003E0B07">
        <w:rPr>
          <w:rFonts w:eastAsia="Times New Roman"/>
          <w:bCs/>
          <w:kern w:val="18"/>
          <w:lang w:eastAsia="es-ES"/>
        </w:rPr>
        <w:t xml:space="preserve">colores </w:t>
      </w:r>
      <w:r>
        <w:rPr>
          <w:rFonts w:eastAsia="Times New Roman"/>
          <w:bCs/>
          <w:kern w:val="18"/>
          <w:lang w:eastAsia="es-ES"/>
        </w:rPr>
        <w:t>empleados por P</w:t>
      </w:r>
      <w:r w:rsidRPr="003E0B07">
        <w:rPr>
          <w:rFonts w:eastAsia="Times New Roman"/>
          <w:bCs/>
          <w:kern w:val="18"/>
          <w:lang w:eastAsia="es-ES"/>
        </w:rPr>
        <w:t xml:space="preserve">rotección </w:t>
      </w:r>
      <w:r>
        <w:rPr>
          <w:rFonts w:eastAsia="Times New Roman"/>
          <w:bCs/>
          <w:kern w:val="18"/>
          <w:lang w:eastAsia="es-ES"/>
        </w:rPr>
        <w:t>C</w:t>
      </w:r>
      <w:r w:rsidRPr="003E0B07">
        <w:rPr>
          <w:rFonts w:eastAsia="Times New Roman"/>
          <w:bCs/>
          <w:kern w:val="18"/>
          <w:lang w:eastAsia="es-ES"/>
        </w:rPr>
        <w:t>ivil</w:t>
      </w:r>
      <w:r>
        <w:rPr>
          <w:rFonts w:eastAsia="Times New Roman"/>
          <w:bCs/>
          <w:kern w:val="18"/>
          <w:lang w:eastAsia="es-ES"/>
        </w:rPr>
        <w:t xml:space="preserve"> en la confección de </w:t>
      </w:r>
      <w:r w:rsidRPr="003E0B07">
        <w:rPr>
          <w:rFonts w:eastAsia="Times New Roman"/>
          <w:bCs/>
          <w:kern w:val="18"/>
          <w:lang w:eastAsia="es-ES"/>
        </w:rPr>
        <w:t>los</w:t>
      </w:r>
      <w:r>
        <w:rPr>
          <w:rFonts w:eastAsia="Times New Roman"/>
          <w:bCs/>
          <w:kern w:val="18"/>
          <w:lang w:eastAsia="es-ES"/>
        </w:rPr>
        <w:t xml:space="preserve"> mapas de riesgo, </w:t>
      </w:r>
      <w:r w:rsidRPr="003E0B07">
        <w:rPr>
          <w:rFonts w:eastAsia="Times New Roman"/>
          <w:bCs/>
          <w:kern w:val="18"/>
          <w:lang w:eastAsia="es-ES"/>
        </w:rPr>
        <w:t xml:space="preserve">según las escalas estandarizadas </w:t>
      </w:r>
      <w:r>
        <w:rPr>
          <w:rFonts w:eastAsia="Times New Roman"/>
          <w:bCs/>
          <w:kern w:val="18"/>
          <w:lang w:eastAsia="es-ES"/>
        </w:rPr>
        <w:t xml:space="preserve">a tal efecto. Así, el </w:t>
      </w:r>
      <w:r w:rsidRPr="003E0B07">
        <w:rPr>
          <w:rFonts w:eastAsia="Times New Roman"/>
          <w:bCs/>
          <w:kern w:val="18"/>
          <w:lang w:eastAsia="es-ES"/>
        </w:rPr>
        <w:t xml:space="preserve">verde oscuro y </w:t>
      </w:r>
      <w:r>
        <w:rPr>
          <w:rFonts w:eastAsia="Times New Roman"/>
          <w:bCs/>
          <w:kern w:val="18"/>
          <w:lang w:eastAsia="es-ES"/>
        </w:rPr>
        <w:t xml:space="preserve">el </w:t>
      </w:r>
      <w:r w:rsidRPr="003E0B07">
        <w:rPr>
          <w:rFonts w:eastAsia="Times New Roman"/>
          <w:bCs/>
          <w:kern w:val="18"/>
          <w:lang w:eastAsia="es-ES"/>
        </w:rPr>
        <w:t>verde claro</w:t>
      </w:r>
      <w:r>
        <w:rPr>
          <w:rFonts w:eastAsia="Times New Roman"/>
          <w:bCs/>
          <w:kern w:val="18"/>
          <w:lang w:eastAsia="es-ES"/>
        </w:rPr>
        <w:t xml:space="preserve"> corresponden a índice </w:t>
      </w:r>
      <w:r w:rsidRPr="003E0B07">
        <w:rPr>
          <w:rFonts w:eastAsia="Times New Roman"/>
          <w:bCs/>
          <w:kern w:val="18"/>
          <w:lang w:eastAsia="es-ES"/>
        </w:rPr>
        <w:t>muy bajo y bajo</w:t>
      </w:r>
      <w:r>
        <w:rPr>
          <w:rFonts w:eastAsia="Times New Roman"/>
          <w:bCs/>
          <w:kern w:val="18"/>
          <w:lang w:eastAsia="es-ES"/>
        </w:rPr>
        <w:t xml:space="preserve">, mientras que el </w:t>
      </w:r>
      <w:r w:rsidRPr="003E0B07">
        <w:rPr>
          <w:rFonts w:eastAsia="Times New Roman"/>
          <w:bCs/>
          <w:kern w:val="18"/>
          <w:lang w:eastAsia="es-ES"/>
        </w:rPr>
        <w:t>amarillo</w:t>
      </w:r>
      <w:r>
        <w:rPr>
          <w:rFonts w:eastAsia="Times New Roman"/>
          <w:bCs/>
          <w:kern w:val="18"/>
          <w:lang w:eastAsia="es-ES"/>
        </w:rPr>
        <w:t xml:space="preserve">, </w:t>
      </w:r>
      <w:r w:rsidRPr="003E0B07">
        <w:rPr>
          <w:rFonts w:eastAsia="Times New Roman"/>
          <w:bCs/>
          <w:kern w:val="18"/>
          <w:lang w:eastAsia="es-ES"/>
        </w:rPr>
        <w:t>naranja</w:t>
      </w:r>
      <w:r>
        <w:rPr>
          <w:rFonts w:eastAsia="Times New Roman"/>
          <w:bCs/>
          <w:kern w:val="18"/>
          <w:lang w:eastAsia="es-ES"/>
        </w:rPr>
        <w:t xml:space="preserve"> y </w:t>
      </w:r>
      <w:r w:rsidRPr="003E0B07">
        <w:rPr>
          <w:rFonts w:eastAsia="Times New Roman"/>
          <w:bCs/>
          <w:kern w:val="18"/>
          <w:lang w:eastAsia="es-ES"/>
        </w:rPr>
        <w:t>rojo</w:t>
      </w:r>
      <w:r>
        <w:rPr>
          <w:rFonts w:eastAsia="Times New Roman"/>
          <w:bCs/>
          <w:kern w:val="18"/>
          <w:lang w:eastAsia="es-ES"/>
        </w:rPr>
        <w:t xml:space="preserve"> son expresión de valores moderado, </w:t>
      </w:r>
      <w:r w:rsidRPr="003E0B07">
        <w:rPr>
          <w:rFonts w:eastAsia="Times New Roman"/>
          <w:bCs/>
          <w:kern w:val="18"/>
          <w:lang w:eastAsia="es-ES"/>
        </w:rPr>
        <w:t>alto y muy alto</w:t>
      </w:r>
      <w:r>
        <w:rPr>
          <w:rFonts w:eastAsia="Times New Roman"/>
          <w:bCs/>
          <w:kern w:val="18"/>
          <w:lang w:eastAsia="es-ES"/>
        </w:rPr>
        <w:t>, respectivamente.</w:t>
      </w:r>
    </w:p>
    <w:p w14:paraId="4B53D39D" w14:textId="77777777" w:rsidR="00C37732" w:rsidRDefault="00C37732" w:rsidP="00754B0E">
      <w:pPr>
        <w:ind w:firstLine="426"/>
        <w:contextualSpacing/>
        <w:jc w:val="both"/>
        <w:rPr>
          <w:rFonts w:eastAsia="Times New Roman"/>
          <w:bCs/>
          <w:kern w:val="18"/>
          <w:lang w:eastAsia="es-ES"/>
        </w:rPr>
      </w:pPr>
      <w:r w:rsidRPr="00B00890">
        <w:rPr>
          <w:rFonts w:eastAsia="Times New Roman"/>
          <w:bCs/>
          <w:kern w:val="18"/>
          <w:lang w:eastAsia="es-ES"/>
        </w:rPr>
        <w:t xml:space="preserve">El resultado más significativo de la </w:t>
      </w:r>
      <w:r w:rsidRPr="00D727AE">
        <w:rPr>
          <w:rFonts w:eastAsia="Times New Roman"/>
          <w:bCs/>
          <w:kern w:val="18"/>
          <w:lang w:eastAsia="es-ES"/>
        </w:rPr>
        <w:t>utilización</w:t>
      </w:r>
      <w:r w:rsidRPr="00B14B8B">
        <w:rPr>
          <w:rFonts w:eastAsia="Times New Roman"/>
          <w:bCs/>
          <w:kern w:val="18"/>
          <w:lang w:eastAsia="es-ES"/>
        </w:rPr>
        <w:t xml:space="preserve"> </w:t>
      </w:r>
      <w:r w:rsidRPr="00B00890">
        <w:rPr>
          <w:rFonts w:eastAsia="Times New Roman"/>
          <w:bCs/>
          <w:kern w:val="18"/>
          <w:lang w:eastAsia="es-ES"/>
        </w:rPr>
        <w:t xml:space="preserve">del método propuesto es una clara diferenciación espacial del grado de vulnerabilidad. En este sentido, </w:t>
      </w:r>
      <w:r>
        <w:rPr>
          <w:rFonts w:eastAsia="Times New Roman"/>
          <w:bCs/>
          <w:kern w:val="18"/>
          <w:lang w:eastAsia="es-ES"/>
        </w:rPr>
        <w:t xml:space="preserve">se constata </w:t>
      </w:r>
      <w:r w:rsidRPr="00B00890">
        <w:rPr>
          <w:rFonts w:eastAsia="Times New Roman"/>
          <w:bCs/>
          <w:kern w:val="18"/>
          <w:lang w:eastAsia="es-ES"/>
        </w:rPr>
        <w:t xml:space="preserve">la existencia de un índice </w:t>
      </w:r>
      <w:r>
        <w:rPr>
          <w:rFonts w:eastAsia="Times New Roman"/>
          <w:bCs/>
          <w:kern w:val="18"/>
          <w:lang w:eastAsia="es-ES"/>
        </w:rPr>
        <w:t xml:space="preserve">muy alto, superior al </w:t>
      </w:r>
      <w:r w:rsidRPr="00B00890">
        <w:rPr>
          <w:rFonts w:eastAsia="Times New Roman"/>
          <w:bCs/>
          <w:kern w:val="18"/>
          <w:lang w:eastAsia="es-ES"/>
        </w:rPr>
        <w:t>0,30</w:t>
      </w:r>
      <w:r>
        <w:rPr>
          <w:rFonts w:eastAsia="Times New Roman"/>
          <w:bCs/>
          <w:kern w:val="18"/>
          <w:lang w:eastAsia="es-ES"/>
        </w:rPr>
        <w:t xml:space="preserve"> en </w:t>
      </w:r>
      <w:r w:rsidRPr="00B00890">
        <w:rPr>
          <w:rFonts w:eastAsia="Times New Roman"/>
          <w:bCs/>
          <w:kern w:val="18"/>
          <w:lang w:eastAsia="es-ES"/>
        </w:rPr>
        <w:t>enclaves puntuales</w:t>
      </w:r>
      <w:r>
        <w:rPr>
          <w:rFonts w:eastAsia="Times New Roman"/>
          <w:bCs/>
          <w:kern w:val="18"/>
          <w:lang w:eastAsia="es-ES"/>
        </w:rPr>
        <w:t xml:space="preserve"> con parcelas coincidentes con </w:t>
      </w:r>
      <w:r w:rsidRPr="003E0B07">
        <w:rPr>
          <w:rFonts w:eastAsia="Times New Roman"/>
          <w:bCs/>
          <w:kern w:val="18"/>
          <w:lang w:eastAsia="es-ES"/>
        </w:rPr>
        <w:t>área</w:t>
      </w:r>
      <w:r>
        <w:rPr>
          <w:rFonts w:eastAsia="Times New Roman"/>
          <w:bCs/>
          <w:kern w:val="18"/>
          <w:lang w:eastAsia="es-ES"/>
        </w:rPr>
        <w:t>s</w:t>
      </w:r>
      <w:r w:rsidRPr="003E0B07">
        <w:rPr>
          <w:rFonts w:eastAsia="Times New Roman"/>
          <w:bCs/>
          <w:kern w:val="18"/>
          <w:lang w:eastAsia="es-ES"/>
        </w:rPr>
        <w:t xml:space="preserve"> inundable</w:t>
      </w:r>
      <w:r>
        <w:rPr>
          <w:rFonts w:eastAsia="Times New Roman"/>
          <w:bCs/>
          <w:kern w:val="18"/>
          <w:lang w:eastAsia="es-ES"/>
        </w:rPr>
        <w:t>s (MITECO, f</w:t>
      </w:r>
      <w:r w:rsidRPr="003E0B07">
        <w:rPr>
          <w:rFonts w:eastAsia="Times New Roman"/>
          <w:bCs/>
          <w:kern w:val="18"/>
          <w:lang w:eastAsia="es-ES"/>
        </w:rPr>
        <w:t xml:space="preserve">igura </w:t>
      </w:r>
      <w:r>
        <w:rPr>
          <w:rFonts w:eastAsia="Times New Roman"/>
          <w:bCs/>
          <w:kern w:val="18"/>
          <w:lang w:eastAsia="es-ES"/>
        </w:rPr>
        <w:t>4</w:t>
      </w:r>
      <w:r w:rsidRPr="003E0B07">
        <w:rPr>
          <w:rFonts w:eastAsia="Times New Roman"/>
          <w:bCs/>
          <w:kern w:val="18"/>
          <w:lang w:eastAsia="es-ES"/>
        </w:rPr>
        <w:t>)</w:t>
      </w:r>
      <w:r>
        <w:rPr>
          <w:rFonts w:eastAsia="Times New Roman"/>
          <w:bCs/>
          <w:kern w:val="18"/>
          <w:lang w:eastAsia="es-ES"/>
        </w:rPr>
        <w:t xml:space="preserve">, cuyas avenidas son recogidas en la prensa. Se trata de los </w:t>
      </w:r>
      <w:r>
        <w:rPr>
          <w:rFonts w:eastAsia="Times New Roman"/>
          <w:bCs/>
          <w:kern w:val="18"/>
          <w:lang w:eastAsia="es-ES"/>
        </w:rPr>
        <w:lastRenderedPageBreak/>
        <w:t xml:space="preserve">ubicados </w:t>
      </w:r>
      <w:r w:rsidRPr="00B00890">
        <w:rPr>
          <w:rFonts w:eastAsia="Times New Roman"/>
          <w:bCs/>
          <w:kern w:val="18"/>
          <w:lang w:eastAsia="es-ES"/>
        </w:rPr>
        <w:t>en el interior de Arona</w:t>
      </w:r>
      <w:r>
        <w:rPr>
          <w:rFonts w:eastAsia="Times New Roman"/>
          <w:bCs/>
          <w:kern w:val="18"/>
          <w:lang w:eastAsia="es-ES"/>
        </w:rPr>
        <w:t xml:space="preserve">, en el entorno de la cuenca hídrica situada entre Fañabé y Torviscas, en Adeje, </w:t>
      </w:r>
      <w:r w:rsidRPr="00B00890">
        <w:rPr>
          <w:rFonts w:eastAsia="Times New Roman"/>
          <w:bCs/>
          <w:kern w:val="18"/>
          <w:lang w:eastAsia="es-ES"/>
        </w:rPr>
        <w:t xml:space="preserve">y en </w:t>
      </w:r>
      <w:r>
        <w:rPr>
          <w:rFonts w:eastAsia="Times New Roman"/>
          <w:bCs/>
          <w:kern w:val="18"/>
          <w:lang w:eastAsia="es-ES"/>
        </w:rPr>
        <w:t xml:space="preserve">el frente marino y aledaños de las </w:t>
      </w:r>
      <w:r w:rsidRPr="00B00890">
        <w:rPr>
          <w:rFonts w:eastAsia="Times New Roman"/>
          <w:bCs/>
          <w:kern w:val="18"/>
          <w:lang w:eastAsia="es-ES"/>
        </w:rPr>
        <w:t xml:space="preserve">playas de El Bobo y del </w:t>
      </w:r>
      <w:proofErr w:type="spellStart"/>
      <w:r w:rsidRPr="00B00890">
        <w:rPr>
          <w:rFonts w:eastAsia="Times New Roman"/>
          <w:bCs/>
          <w:kern w:val="18"/>
          <w:lang w:eastAsia="es-ES"/>
        </w:rPr>
        <w:t>Beri</w:t>
      </w:r>
      <w:r>
        <w:rPr>
          <w:rFonts w:eastAsia="Times New Roman"/>
          <w:bCs/>
          <w:kern w:val="18"/>
          <w:lang w:eastAsia="es-ES"/>
        </w:rPr>
        <w:t>l</w:t>
      </w:r>
      <w:proofErr w:type="spellEnd"/>
      <w:r>
        <w:rPr>
          <w:rFonts w:eastAsia="Times New Roman"/>
          <w:bCs/>
          <w:kern w:val="18"/>
          <w:lang w:eastAsia="es-ES"/>
        </w:rPr>
        <w:t xml:space="preserve"> en ese último municipio. Los núcleos con </w:t>
      </w:r>
      <w:r w:rsidRPr="00B00890">
        <w:rPr>
          <w:rFonts w:eastAsia="Times New Roman"/>
          <w:bCs/>
          <w:kern w:val="18"/>
          <w:lang w:eastAsia="es-ES"/>
        </w:rPr>
        <w:t xml:space="preserve">registros </w:t>
      </w:r>
      <w:r>
        <w:rPr>
          <w:rFonts w:eastAsia="Times New Roman"/>
          <w:bCs/>
          <w:kern w:val="18"/>
          <w:lang w:eastAsia="es-ES"/>
        </w:rPr>
        <w:t xml:space="preserve">altos - </w:t>
      </w:r>
      <w:r w:rsidRPr="00B00890">
        <w:rPr>
          <w:rFonts w:eastAsia="Times New Roman"/>
          <w:bCs/>
          <w:kern w:val="18"/>
          <w:lang w:eastAsia="es-ES"/>
        </w:rPr>
        <w:t>0,15-0,30</w:t>
      </w:r>
      <w:r>
        <w:rPr>
          <w:rFonts w:eastAsia="Times New Roman"/>
          <w:bCs/>
          <w:kern w:val="18"/>
          <w:lang w:eastAsia="es-ES"/>
        </w:rPr>
        <w:t xml:space="preserve"> – son algo más frecuentes. Estos se localizan </w:t>
      </w:r>
      <w:r w:rsidRPr="00B00890">
        <w:rPr>
          <w:rFonts w:eastAsia="Times New Roman"/>
          <w:bCs/>
          <w:kern w:val="18"/>
          <w:lang w:eastAsia="es-ES"/>
        </w:rPr>
        <w:t xml:space="preserve">en </w:t>
      </w:r>
      <w:r>
        <w:rPr>
          <w:rFonts w:eastAsia="Times New Roman"/>
          <w:bCs/>
          <w:kern w:val="18"/>
          <w:lang w:eastAsia="es-ES"/>
        </w:rPr>
        <w:t>las inmediaciones</w:t>
      </w:r>
      <w:r w:rsidRPr="00B00890">
        <w:rPr>
          <w:rFonts w:eastAsia="Times New Roman"/>
          <w:bCs/>
          <w:kern w:val="18"/>
          <w:lang w:eastAsia="es-ES"/>
        </w:rPr>
        <w:t xml:space="preserve"> de la playa de Los Cristianos</w:t>
      </w:r>
      <w:r>
        <w:rPr>
          <w:rFonts w:eastAsia="Times New Roman"/>
          <w:bCs/>
          <w:kern w:val="18"/>
          <w:lang w:eastAsia="es-ES"/>
        </w:rPr>
        <w:t xml:space="preserve">, en </w:t>
      </w:r>
      <w:proofErr w:type="gramStart"/>
      <w:r w:rsidRPr="00B00890">
        <w:rPr>
          <w:rFonts w:eastAsia="Times New Roman"/>
          <w:bCs/>
          <w:kern w:val="18"/>
          <w:lang w:eastAsia="es-ES"/>
        </w:rPr>
        <w:t>Arona</w:t>
      </w:r>
      <w:proofErr w:type="gramEnd"/>
      <w:r w:rsidRPr="00B00890">
        <w:rPr>
          <w:rFonts w:eastAsia="Times New Roman"/>
          <w:bCs/>
          <w:kern w:val="18"/>
          <w:lang w:eastAsia="es-ES"/>
        </w:rPr>
        <w:t xml:space="preserve"> pero sobre todo en Puerto Colón y playas de Fañabé, del Duque y La Enramada,</w:t>
      </w:r>
      <w:r>
        <w:rPr>
          <w:rFonts w:eastAsia="Times New Roman"/>
          <w:bCs/>
          <w:kern w:val="18"/>
          <w:lang w:eastAsia="es-ES"/>
        </w:rPr>
        <w:t xml:space="preserve"> en </w:t>
      </w:r>
      <w:r w:rsidRPr="00B00890">
        <w:rPr>
          <w:rFonts w:eastAsia="Times New Roman"/>
          <w:bCs/>
          <w:kern w:val="18"/>
          <w:lang w:eastAsia="es-ES"/>
        </w:rPr>
        <w:t xml:space="preserve">Adeje. La </w:t>
      </w:r>
      <w:r>
        <w:rPr>
          <w:rFonts w:eastAsia="Times New Roman"/>
          <w:bCs/>
          <w:kern w:val="18"/>
          <w:lang w:eastAsia="es-ES"/>
        </w:rPr>
        <w:t xml:space="preserve">notoriedad </w:t>
      </w:r>
      <w:r w:rsidRPr="00B00890">
        <w:rPr>
          <w:rFonts w:eastAsia="Times New Roman"/>
          <w:bCs/>
          <w:kern w:val="18"/>
          <w:lang w:eastAsia="es-ES"/>
        </w:rPr>
        <w:t xml:space="preserve">de la amenaza-exposición es en </w:t>
      </w:r>
      <w:r>
        <w:rPr>
          <w:rFonts w:eastAsia="Times New Roman"/>
          <w:bCs/>
          <w:kern w:val="18"/>
          <w:lang w:eastAsia="es-ES"/>
        </w:rPr>
        <w:t xml:space="preserve">todos </w:t>
      </w:r>
      <w:r w:rsidRPr="00B00890">
        <w:rPr>
          <w:rFonts w:eastAsia="Times New Roman"/>
          <w:bCs/>
          <w:kern w:val="18"/>
          <w:lang w:eastAsia="es-ES"/>
        </w:rPr>
        <w:t>estos espacios indudable</w:t>
      </w:r>
      <w:r>
        <w:rPr>
          <w:rFonts w:eastAsia="Times New Roman"/>
          <w:bCs/>
          <w:kern w:val="18"/>
          <w:lang w:eastAsia="es-ES"/>
        </w:rPr>
        <w:t xml:space="preserve">, aunque no se pueden olvidar los matices </w:t>
      </w:r>
      <w:r w:rsidRPr="00C2775C">
        <w:rPr>
          <w:rFonts w:eastAsia="Times New Roman"/>
          <w:bCs/>
          <w:kern w:val="18"/>
          <w:lang w:eastAsia="es-ES"/>
        </w:rPr>
        <w:t>derivados del componente de vulnerabilidad para cada uno de los elementos.</w:t>
      </w:r>
      <w:r>
        <w:rPr>
          <w:rFonts w:eastAsia="Times New Roman"/>
          <w:bCs/>
          <w:kern w:val="18"/>
          <w:lang w:eastAsia="es-ES"/>
        </w:rPr>
        <w:t xml:space="preserve"> En relación con ello, es evidente la influencia de la </w:t>
      </w:r>
      <w:r w:rsidRPr="003E0B07">
        <w:rPr>
          <w:rFonts w:eastAsia="Times New Roman"/>
          <w:bCs/>
          <w:kern w:val="18"/>
          <w:lang w:eastAsia="es-ES"/>
        </w:rPr>
        <w:t>ocupación de ladera</w:t>
      </w:r>
      <w:r>
        <w:rPr>
          <w:rFonts w:eastAsia="Times New Roman"/>
          <w:bCs/>
          <w:kern w:val="18"/>
          <w:lang w:eastAsia="es-ES"/>
        </w:rPr>
        <w:t xml:space="preserve">s de pendiente más o menos </w:t>
      </w:r>
      <w:r w:rsidRPr="002135CF">
        <w:rPr>
          <w:rFonts w:eastAsia="Times New Roman"/>
          <w:bCs/>
          <w:kern w:val="18"/>
          <w:lang w:eastAsia="es-ES"/>
        </w:rPr>
        <w:t>pronunciada,</w:t>
      </w:r>
      <w:r w:rsidRPr="00B861B2">
        <w:rPr>
          <w:rFonts w:eastAsia="Times New Roman"/>
          <w:bCs/>
          <w:color w:val="0070C0"/>
          <w:kern w:val="18"/>
          <w:lang w:eastAsia="es-ES"/>
        </w:rPr>
        <w:t xml:space="preserve"> </w:t>
      </w:r>
      <w:r w:rsidRPr="00803AD4">
        <w:rPr>
          <w:rFonts w:eastAsia="Times New Roman"/>
          <w:bCs/>
          <w:kern w:val="18"/>
          <w:lang w:eastAsia="es-ES"/>
        </w:rPr>
        <w:t xml:space="preserve">de lo que son buena muestra las notables diferencias entre las parcelas urbanas que se asientan ladera arriba de la localidad de San Eugenio y las que lo hacen en la parta más alta de Fañabé. No obstante, aunque la pendiente constituye otro factor </w:t>
      </w:r>
      <w:r w:rsidRPr="00D727AE">
        <w:rPr>
          <w:rFonts w:eastAsia="Times New Roman"/>
          <w:bCs/>
          <w:kern w:val="18"/>
          <w:lang w:eastAsia="es-ES"/>
        </w:rPr>
        <w:t>más a considerar</w:t>
      </w:r>
      <w:r w:rsidRPr="00803AD4">
        <w:rPr>
          <w:rFonts w:eastAsia="Times New Roman"/>
          <w:bCs/>
          <w:kern w:val="18"/>
          <w:lang w:eastAsia="es-ES"/>
        </w:rPr>
        <w:t xml:space="preserve">, se aprecia con claridad que son otros </w:t>
      </w:r>
      <w:r w:rsidRPr="00D727AE">
        <w:rPr>
          <w:rFonts w:eastAsia="Times New Roman"/>
          <w:bCs/>
          <w:kern w:val="18"/>
          <w:lang w:eastAsia="es-ES"/>
        </w:rPr>
        <w:t>agentes los que determinan en gran medida el valor final del índice, como la tipología de la parcela, el histórico de eventos y el número de servicios</w:t>
      </w:r>
      <w:r>
        <w:rPr>
          <w:rFonts w:eastAsia="Times New Roman"/>
          <w:bCs/>
          <w:kern w:val="18"/>
          <w:lang w:eastAsia="es-ES"/>
        </w:rPr>
        <w:t>.</w:t>
      </w:r>
    </w:p>
    <w:p w14:paraId="25CF082F" w14:textId="77777777" w:rsidR="00754B0E" w:rsidRDefault="00754B0E" w:rsidP="00C37732">
      <w:pPr>
        <w:ind w:firstLine="708"/>
        <w:contextualSpacing/>
        <w:jc w:val="both"/>
        <w:rPr>
          <w:rFonts w:eastAsia="Times New Roman"/>
          <w:bCs/>
          <w:kern w:val="18"/>
          <w:lang w:eastAsia="es-ES"/>
        </w:rPr>
      </w:pPr>
    </w:p>
    <w:p w14:paraId="69EA00C1" w14:textId="6F04CA3A" w:rsidR="00C37732" w:rsidRDefault="00754B0E" w:rsidP="00754B0E">
      <w:pPr>
        <w:pStyle w:val="Cuerpodeltexto"/>
        <w:jc w:val="center"/>
      </w:pPr>
      <w:r>
        <w:t xml:space="preserve">[FIGURA </w:t>
      </w:r>
      <w:r>
        <w:t>4</w:t>
      </w:r>
      <w:r>
        <w:t>]</w:t>
      </w:r>
    </w:p>
    <w:p w14:paraId="1279C952" w14:textId="77777777" w:rsidR="00754B0E" w:rsidRPr="00754B0E" w:rsidRDefault="00754B0E" w:rsidP="00754B0E">
      <w:pPr>
        <w:pStyle w:val="Cuerpodeltexto"/>
        <w:jc w:val="center"/>
      </w:pPr>
    </w:p>
    <w:p w14:paraId="1A63D023" w14:textId="73E1B054" w:rsidR="00C37732" w:rsidRPr="00754B0E" w:rsidRDefault="00C37732" w:rsidP="00C37732">
      <w:pPr>
        <w:spacing w:line="276" w:lineRule="auto"/>
        <w:contextualSpacing/>
        <w:jc w:val="both"/>
        <w:rPr>
          <w:rFonts w:eastAsia="Times New Roman"/>
          <w:bCs/>
          <w:kern w:val="18"/>
          <w:lang w:eastAsia="es-ES"/>
        </w:rPr>
      </w:pPr>
      <w:r w:rsidRPr="00754B0E">
        <w:rPr>
          <w:rFonts w:eastAsia="Times New Roman"/>
          <w:sz w:val="20"/>
          <w:szCs w:val="20"/>
          <w:lang w:eastAsia="es-ES"/>
        </w:rPr>
        <w:t>Figura 4. Áreas de amenaza-exposición en la costa de Arona y Adeje (SO de Tenerife).</w:t>
      </w:r>
      <w:r w:rsidR="00754B0E">
        <w:rPr>
          <w:rFonts w:eastAsia="Times New Roman"/>
          <w:bCs/>
          <w:kern w:val="18"/>
          <w:lang w:eastAsia="es-ES"/>
        </w:rPr>
        <w:t xml:space="preserve"> </w:t>
      </w:r>
      <w:r w:rsidRPr="00754B0E">
        <w:rPr>
          <w:rFonts w:eastAsia="Times New Roman"/>
          <w:sz w:val="20"/>
          <w:szCs w:val="20"/>
          <w:lang w:eastAsia="es-ES"/>
        </w:rPr>
        <w:t xml:space="preserve">Fuente: PDA (2015); MITECO; </w:t>
      </w:r>
      <w:proofErr w:type="spellStart"/>
      <w:r w:rsidRPr="00754B0E">
        <w:rPr>
          <w:rFonts w:eastAsia="Times New Roman"/>
          <w:sz w:val="20"/>
          <w:szCs w:val="20"/>
          <w:lang w:eastAsia="es-ES"/>
        </w:rPr>
        <w:t>Grafcan</w:t>
      </w:r>
      <w:proofErr w:type="spellEnd"/>
      <w:r w:rsidRPr="00754B0E">
        <w:rPr>
          <w:rFonts w:eastAsia="Times New Roman"/>
          <w:sz w:val="20"/>
          <w:szCs w:val="20"/>
          <w:lang w:eastAsia="es-ES"/>
        </w:rPr>
        <w:t xml:space="preserve">; IGN; </w:t>
      </w:r>
      <w:r w:rsidR="00A151A8" w:rsidRPr="00A151A8">
        <w:rPr>
          <w:rFonts w:eastAsia="Times New Roman"/>
          <w:b/>
          <w:sz w:val="20"/>
          <w:szCs w:val="20"/>
          <w:highlight w:val="yellow"/>
          <w:lang w:eastAsia="es-ES"/>
        </w:rPr>
        <w:t>CITA AUTOR 1</w:t>
      </w:r>
      <w:r w:rsidRPr="00754B0E">
        <w:rPr>
          <w:rFonts w:eastAsia="Times New Roman"/>
          <w:sz w:val="20"/>
          <w:szCs w:val="20"/>
          <w:lang w:eastAsia="es-ES"/>
        </w:rPr>
        <w:t>.</w:t>
      </w:r>
    </w:p>
    <w:p w14:paraId="02349FB7" w14:textId="77777777" w:rsidR="00C37732" w:rsidRDefault="00C37732" w:rsidP="00C37732">
      <w:pPr>
        <w:contextualSpacing/>
        <w:jc w:val="both"/>
        <w:rPr>
          <w:rFonts w:eastAsia="Times New Roman"/>
          <w:bCs/>
          <w:kern w:val="18"/>
          <w:lang w:eastAsia="es-ES"/>
        </w:rPr>
      </w:pPr>
    </w:p>
    <w:p w14:paraId="37DFF085" w14:textId="77777777" w:rsidR="00C37732" w:rsidRPr="00B861B2" w:rsidRDefault="00C37732" w:rsidP="00754B0E">
      <w:pPr>
        <w:ind w:firstLine="426"/>
        <w:contextualSpacing/>
        <w:jc w:val="both"/>
        <w:rPr>
          <w:rFonts w:eastAsia="Times New Roman"/>
          <w:b/>
          <w:bCs/>
          <w:kern w:val="18"/>
          <w:lang w:eastAsia="es-ES"/>
        </w:rPr>
      </w:pPr>
      <w:r>
        <w:rPr>
          <w:rFonts w:eastAsia="Times New Roman"/>
          <w:bCs/>
          <w:kern w:val="18"/>
          <w:lang w:eastAsia="es-ES"/>
        </w:rPr>
        <w:t xml:space="preserve">Lo más destacado es, en todo caso, la reducida vulnerabilidad de los sectores en los que se ubican </w:t>
      </w:r>
      <w:r w:rsidRPr="003E0B07">
        <w:rPr>
          <w:rFonts w:eastAsia="Times New Roman"/>
          <w:bCs/>
          <w:kern w:val="18"/>
          <w:lang w:eastAsia="es-ES"/>
        </w:rPr>
        <w:t xml:space="preserve">los primeros asentamientos turísticos </w:t>
      </w:r>
      <w:r>
        <w:rPr>
          <w:rFonts w:eastAsia="Times New Roman"/>
          <w:bCs/>
          <w:kern w:val="18"/>
          <w:lang w:eastAsia="es-ES"/>
        </w:rPr>
        <w:t xml:space="preserve">de Arona y Adeje, como Los </w:t>
      </w:r>
      <w:r w:rsidRPr="003E0B07">
        <w:rPr>
          <w:rFonts w:eastAsia="Times New Roman"/>
          <w:bCs/>
          <w:kern w:val="18"/>
          <w:lang w:eastAsia="es-ES"/>
        </w:rPr>
        <w:t>Cristianos</w:t>
      </w:r>
      <w:r>
        <w:rPr>
          <w:rFonts w:eastAsia="Times New Roman"/>
          <w:bCs/>
          <w:kern w:val="18"/>
          <w:lang w:eastAsia="es-ES"/>
        </w:rPr>
        <w:t xml:space="preserve"> y</w:t>
      </w:r>
      <w:r w:rsidRPr="003E0B07">
        <w:rPr>
          <w:rFonts w:eastAsia="Times New Roman"/>
          <w:bCs/>
          <w:kern w:val="18"/>
          <w:lang w:eastAsia="es-ES"/>
        </w:rPr>
        <w:t xml:space="preserve"> </w:t>
      </w:r>
      <w:r>
        <w:rPr>
          <w:rFonts w:eastAsia="Times New Roman"/>
          <w:bCs/>
          <w:kern w:val="18"/>
          <w:lang w:eastAsia="es-ES"/>
        </w:rPr>
        <w:t>Las Américas</w:t>
      </w:r>
      <w:r w:rsidRPr="003E0B07">
        <w:rPr>
          <w:rFonts w:eastAsia="Times New Roman"/>
          <w:bCs/>
          <w:kern w:val="18"/>
          <w:lang w:eastAsia="es-ES"/>
        </w:rPr>
        <w:t>,</w:t>
      </w:r>
      <w:r>
        <w:rPr>
          <w:rFonts w:eastAsia="Times New Roman"/>
          <w:bCs/>
          <w:kern w:val="18"/>
          <w:lang w:eastAsia="es-ES"/>
        </w:rPr>
        <w:t xml:space="preserve"> respectivamente, aunque es</w:t>
      </w:r>
      <w:r w:rsidRPr="003E0B07">
        <w:rPr>
          <w:rFonts w:eastAsia="Times New Roman"/>
          <w:bCs/>
          <w:kern w:val="18"/>
          <w:lang w:eastAsia="es-ES"/>
        </w:rPr>
        <w:t xml:space="preserve"> posible que la antigüedad </w:t>
      </w:r>
      <w:r>
        <w:rPr>
          <w:rFonts w:eastAsia="Times New Roman"/>
          <w:bCs/>
          <w:kern w:val="18"/>
          <w:lang w:eastAsia="es-ES"/>
        </w:rPr>
        <w:t>de</w:t>
      </w:r>
      <w:r w:rsidRPr="003E0B07">
        <w:rPr>
          <w:rFonts w:eastAsia="Times New Roman"/>
          <w:bCs/>
          <w:kern w:val="18"/>
          <w:lang w:eastAsia="es-ES"/>
        </w:rPr>
        <w:t xml:space="preserve"> las edificaciones haya </w:t>
      </w:r>
      <w:r>
        <w:rPr>
          <w:rFonts w:eastAsia="Times New Roman"/>
          <w:bCs/>
          <w:kern w:val="18"/>
          <w:lang w:eastAsia="es-ES"/>
        </w:rPr>
        <w:t>podido</w:t>
      </w:r>
      <w:r w:rsidRPr="003E0B07">
        <w:rPr>
          <w:rFonts w:eastAsia="Times New Roman"/>
          <w:bCs/>
          <w:kern w:val="18"/>
          <w:lang w:eastAsia="es-ES"/>
        </w:rPr>
        <w:t xml:space="preserve"> </w:t>
      </w:r>
      <w:r>
        <w:rPr>
          <w:rFonts w:eastAsia="Times New Roman"/>
          <w:bCs/>
          <w:kern w:val="18"/>
          <w:lang w:eastAsia="es-ES"/>
        </w:rPr>
        <w:t xml:space="preserve">condicionar el </w:t>
      </w:r>
      <w:r w:rsidRPr="003E0B07">
        <w:rPr>
          <w:rFonts w:eastAsia="Times New Roman"/>
          <w:bCs/>
          <w:kern w:val="18"/>
          <w:lang w:eastAsia="es-ES"/>
        </w:rPr>
        <w:t xml:space="preserve">valor </w:t>
      </w:r>
      <w:r>
        <w:rPr>
          <w:rFonts w:eastAsia="Times New Roman"/>
          <w:bCs/>
          <w:kern w:val="18"/>
          <w:lang w:eastAsia="es-ES"/>
        </w:rPr>
        <w:t>del</w:t>
      </w:r>
      <w:r w:rsidRPr="003E0B07">
        <w:rPr>
          <w:rFonts w:eastAsia="Times New Roman"/>
          <w:bCs/>
          <w:kern w:val="18"/>
          <w:lang w:eastAsia="es-ES"/>
        </w:rPr>
        <w:t xml:space="preserve"> índice</w:t>
      </w:r>
      <w:r>
        <w:rPr>
          <w:rFonts w:eastAsia="Times New Roman"/>
          <w:bCs/>
          <w:kern w:val="18"/>
          <w:lang w:eastAsia="es-ES"/>
        </w:rPr>
        <w:t xml:space="preserve"> objeto de cálculo. No obstante, </w:t>
      </w:r>
      <w:r w:rsidRPr="003E0B07">
        <w:rPr>
          <w:rFonts w:eastAsia="Times New Roman"/>
          <w:bCs/>
          <w:kern w:val="18"/>
          <w:lang w:eastAsia="es-ES"/>
        </w:rPr>
        <w:t>s</w:t>
      </w:r>
      <w:r>
        <w:rPr>
          <w:rFonts w:eastAsia="Times New Roman"/>
          <w:bCs/>
          <w:kern w:val="18"/>
          <w:lang w:eastAsia="es-ES"/>
        </w:rPr>
        <w:t xml:space="preserve">on numerosas las gradaciones introducidas por la </w:t>
      </w:r>
      <w:r w:rsidRPr="003E0B07">
        <w:rPr>
          <w:rFonts w:eastAsia="Times New Roman"/>
          <w:bCs/>
          <w:kern w:val="18"/>
          <w:lang w:eastAsia="es-ES"/>
        </w:rPr>
        <w:t>amenaza-exposición, la pendiente y</w:t>
      </w:r>
      <w:r>
        <w:rPr>
          <w:rFonts w:eastAsia="Times New Roman"/>
          <w:bCs/>
          <w:kern w:val="18"/>
          <w:lang w:eastAsia="es-ES"/>
        </w:rPr>
        <w:t>,</w:t>
      </w:r>
      <w:r w:rsidRPr="003E0B07">
        <w:rPr>
          <w:rFonts w:eastAsia="Times New Roman"/>
          <w:bCs/>
          <w:kern w:val="18"/>
          <w:lang w:eastAsia="es-ES"/>
        </w:rPr>
        <w:t xml:space="preserve"> </w:t>
      </w:r>
      <w:r>
        <w:rPr>
          <w:rFonts w:eastAsia="Times New Roman"/>
          <w:bCs/>
          <w:kern w:val="18"/>
          <w:lang w:eastAsia="es-ES"/>
        </w:rPr>
        <w:t>sobre todo,</w:t>
      </w:r>
      <w:r w:rsidRPr="003E0B07">
        <w:rPr>
          <w:rFonts w:eastAsia="Times New Roman"/>
          <w:bCs/>
          <w:kern w:val="18"/>
          <w:lang w:eastAsia="es-ES"/>
        </w:rPr>
        <w:t xml:space="preserve"> </w:t>
      </w:r>
      <w:r>
        <w:rPr>
          <w:rFonts w:eastAsia="Times New Roman"/>
          <w:bCs/>
          <w:kern w:val="18"/>
          <w:lang w:eastAsia="es-ES"/>
        </w:rPr>
        <w:t xml:space="preserve">por </w:t>
      </w:r>
      <w:r w:rsidRPr="003E0B07">
        <w:rPr>
          <w:rFonts w:eastAsia="Times New Roman"/>
          <w:bCs/>
          <w:kern w:val="18"/>
          <w:lang w:eastAsia="es-ES"/>
        </w:rPr>
        <w:t>los indicadores de vulnerabilidad</w:t>
      </w:r>
      <w:r w:rsidRPr="00D727AE">
        <w:rPr>
          <w:rFonts w:eastAsia="Times New Roman"/>
          <w:bCs/>
          <w:kern w:val="18"/>
          <w:lang w:eastAsia="es-ES"/>
        </w:rPr>
        <w:t>. Y ello</w:t>
      </w:r>
      <w:r>
        <w:rPr>
          <w:rFonts w:eastAsia="Times New Roman"/>
          <w:bCs/>
          <w:kern w:val="18"/>
          <w:lang w:eastAsia="es-ES"/>
        </w:rPr>
        <w:t xml:space="preserve"> en un tejido urbano con una densidad edificatoria alta, que crece paralela a la línea de costa mediante la mezcla de tipologías constructivas (Tortosa-</w:t>
      </w:r>
      <w:proofErr w:type="spellStart"/>
      <w:r>
        <w:rPr>
          <w:rFonts w:eastAsia="Times New Roman"/>
          <w:bCs/>
          <w:kern w:val="18"/>
          <w:lang w:eastAsia="es-ES"/>
        </w:rPr>
        <w:t>Esquembre</w:t>
      </w:r>
      <w:proofErr w:type="spellEnd"/>
      <w:r>
        <w:rPr>
          <w:rFonts w:eastAsia="Times New Roman"/>
          <w:bCs/>
          <w:kern w:val="18"/>
          <w:lang w:eastAsia="es-ES"/>
        </w:rPr>
        <w:t xml:space="preserve">, 2016), en un proceso de explotación intensiva del suelo falto, al menos en sus inicios, de planificación adecuada (Díaz-Pacheco </w:t>
      </w:r>
      <w:r w:rsidRPr="001C1A6C">
        <w:rPr>
          <w:rFonts w:eastAsia="Times New Roman"/>
          <w:bCs/>
          <w:i/>
          <w:kern w:val="18"/>
          <w:lang w:eastAsia="es-ES"/>
        </w:rPr>
        <w:t>et al</w:t>
      </w:r>
      <w:r>
        <w:rPr>
          <w:rFonts w:eastAsia="Times New Roman"/>
          <w:bCs/>
          <w:i/>
          <w:kern w:val="18"/>
          <w:lang w:eastAsia="es-ES"/>
        </w:rPr>
        <w:t>.</w:t>
      </w:r>
      <w:r>
        <w:rPr>
          <w:rFonts w:eastAsia="Times New Roman"/>
          <w:bCs/>
          <w:kern w:val="18"/>
          <w:lang w:eastAsia="es-ES"/>
        </w:rPr>
        <w:t xml:space="preserve">, 2019). La combinación de todos estos factores se </w:t>
      </w:r>
      <w:r w:rsidRPr="003E0B07">
        <w:rPr>
          <w:rFonts w:eastAsia="Times New Roman"/>
          <w:bCs/>
          <w:kern w:val="18"/>
          <w:lang w:eastAsia="es-ES"/>
        </w:rPr>
        <w:t>concreta</w:t>
      </w:r>
      <w:r>
        <w:rPr>
          <w:rFonts w:eastAsia="Times New Roman"/>
          <w:bCs/>
          <w:kern w:val="18"/>
          <w:lang w:eastAsia="es-ES"/>
        </w:rPr>
        <w:t xml:space="preserve"> </w:t>
      </w:r>
      <w:r w:rsidRPr="003E0B07">
        <w:rPr>
          <w:rFonts w:eastAsia="Times New Roman"/>
          <w:bCs/>
          <w:kern w:val="18"/>
          <w:lang w:eastAsia="es-ES"/>
        </w:rPr>
        <w:t xml:space="preserve">en </w:t>
      </w:r>
      <w:r>
        <w:rPr>
          <w:rFonts w:eastAsia="Times New Roman"/>
          <w:bCs/>
          <w:kern w:val="18"/>
          <w:lang w:eastAsia="es-ES"/>
        </w:rPr>
        <w:t xml:space="preserve">una mayor repercusión económica de la </w:t>
      </w:r>
      <w:r w:rsidRPr="003E0B07">
        <w:rPr>
          <w:rFonts w:eastAsia="Times New Roman"/>
          <w:bCs/>
          <w:kern w:val="18"/>
          <w:lang w:eastAsia="es-ES"/>
        </w:rPr>
        <w:t>ocupación turística, aforos, etc.</w:t>
      </w:r>
    </w:p>
    <w:p w14:paraId="251AEB46" w14:textId="7DCDA173" w:rsidR="00C37732" w:rsidRDefault="00C37732" w:rsidP="00C37732">
      <w:pPr>
        <w:spacing w:line="240" w:lineRule="auto"/>
        <w:contextualSpacing/>
        <w:jc w:val="both"/>
        <w:rPr>
          <w:rFonts w:eastAsia="Times New Roman"/>
          <w:bCs/>
          <w:kern w:val="18"/>
          <w:sz w:val="20"/>
          <w:szCs w:val="20"/>
          <w:lang w:eastAsia="es-ES"/>
        </w:rPr>
      </w:pPr>
    </w:p>
    <w:p w14:paraId="16C83CC0" w14:textId="1DC4C68E" w:rsidR="00754B0E" w:rsidRDefault="00754B0E" w:rsidP="00754B0E">
      <w:pPr>
        <w:pStyle w:val="Cuerpodeltexto"/>
        <w:jc w:val="center"/>
      </w:pPr>
      <w:r>
        <w:t>[FIGURA 5</w:t>
      </w:r>
      <w:r>
        <w:t>]</w:t>
      </w:r>
    </w:p>
    <w:p w14:paraId="27267F19" w14:textId="77777777" w:rsidR="00754B0E" w:rsidRDefault="00754B0E" w:rsidP="00C37732">
      <w:pPr>
        <w:spacing w:line="240" w:lineRule="auto"/>
        <w:contextualSpacing/>
        <w:jc w:val="both"/>
        <w:rPr>
          <w:rFonts w:eastAsia="Times New Roman"/>
          <w:bCs/>
          <w:kern w:val="18"/>
          <w:sz w:val="20"/>
          <w:szCs w:val="20"/>
          <w:lang w:eastAsia="es-ES"/>
        </w:rPr>
      </w:pPr>
    </w:p>
    <w:p w14:paraId="14C09574" w14:textId="28ECA8D6" w:rsidR="00C37732" w:rsidRDefault="00C37732" w:rsidP="00C37732">
      <w:pPr>
        <w:spacing w:line="276" w:lineRule="auto"/>
        <w:contextualSpacing/>
        <w:jc w:val="both"/>
        <w:rPr>
          <w:rFonts w:eastAsia="Times New Roman"/>
          <w:bCs/>
          <w:kern w:val="18"/>
          <w:sz w:val="20"/>
          <w:szCs w:val="20"/>
          <w:lang w:eastAsia="es-ES"/>
        </w:rPr>
      </w:pPr>
      <w:r w:rsidRPr="00754B0E">
        <w:rPr>
          <w:rFonts w:eastAsia="Times New Roman"/>
          <w:bCs/>
          <w:kern w:val="18"/>
          <w:sz w:val="20"/>
          <w:szCs w:val="20"/>
          <w:lang w:eastAsia="es-ES"/>
        </w:rPr>
        <w:t>Figura 5. Índice de vulnerabilidad por riesgo de inundación a escala de parcela catastral en la costa de</w:t>
      </w:r>
      <w:r w:rsidRPr="00754B0E">
        <w:rPr>
          <w:rFonts w:eastAsia="Times New Roman"/>
          <w:sz w:val="20"/>
          <w:szCs w:val="20"/>
          <w:lang w:eastAsia="es-ES"/>
        </w:rPr>
        <w:t xml:space="preserve"> Arona y Adeje (SO de Tenerife). </w:t>
      </w:r>
      <w:r w:rsidRPr="00754B0E">
        <w:rPr>
          <w:rFonts w:eastAsia="Times New Roman"/>
          <w:bCs/>
          <w:kern w:val="18"/>
          <w:sz w:val="20"/>
          <w:szCs w:val="20"/>
          <w:lang w:eastAsia="es-ES"/>
        </w:rPr>
        <w:t xml:space="preserve">Fuentes: Dirección General del Catastro de SC de Tenerife; Cabildo de Tenerife; PDA (2015); IGN; </w:t>
      </w:r>
      <w:proofErr w:type="spellStart"/>
      <w:r w:rsidRPr="00754B0E">
        <w:rPr>
          <w:rFonts w:eastAsia="Times New Roman"/>
          <w:bCs/>
          <w:kern w:val="18"/>
          <w:sz w:val="20"/>
          <w:szCs w:val="20"/>
          <w:lang w:eastAsia="es-ES"/>
        </w:rPr>
        <w:t>Grafcan</w:t>
      </w:r>
      <w:proofErr w:type="spellEnd"/>
      <w:r w:rsidRPr="00754B0E">
        <w:rPr>
          <w:rFonts w:eastAsia="Times New Roman"/>
          <w:bCs/>
          <w:kern w:val="18"/>
          <w:sz w:val="20"/>
          <w:szCs w:val="20"/>
          <w:lang w:eastAsia="es-ES"/>
        </w:rPr>
        <w:t xml:space="preserve">; </w:t>
      </w:r>
      <w:r w:rsidR="00A151A8" w:rsidRPr="00A151A8">
        <w:rPr>
          <w:rFonts w:eastAsia="Times New Roman"/>
          <w:b/>
          <w:bCs/>
          <w:kern w:val="18"/>
          <w:sz w:val="20"/>
          <w:szCs w:val="20"/>
          <w:highlight w:val="yellow"/>
          <w:lang w:eastAsia="es-ES"/>
        </w:rPr>
        <w:t>CITA AUTOR 1</w:t>
      </w:r>
      <w:r w:rsidRPr="00754B0E">
        <w:rPr>
          <w:rFonts w:eastAsia="Times New Roman"/>
          <w:bCs/>
          <w:kern w:val="18"/>
          <w:sz w:val="20"/>
          <w:szCs w:val="20"/>
          <w:lang w:eastAsia="es-ES"/>
        </w:rPr>
        <w:t>.</w:t>
      </w:r>
    </w:p>
    <w:p w14:paraId="3CC901D6" w14:textId="77777777" w:rsidR="0038507E" w:rsidRDefault="0038507E" w:rsidP="00C37732">
      <w:pPr>
        <w:spacing w:line="276" w:lineRule="auto"/>
        <w:contextualSpacing/>
        <w:jc w:val="both"/>
        <w:rPr>
          <w:rFonts w:eastAsia="Times New Roman"/>
          <w:bCs/>
          <w:kern w:val="18"/>
          <w:sz w:val="20"/>
          <w:szCs w:val="20"/>
          <w:lang w:eastAsia="es-ES"/>
        </w:rPr>
      </w:pPr>
    </w:p>
    <w:p w14:paraId="06583D6C" w14:textId="77777777" w:rsidR="0038507E" w:rsidRPr="00754B0E" w:rsidRDefault="0038507E" w:rsidP="00C37732">
      <w:pPr>
        <w:spacing w:line="276" w:lineRule="auto"/>
        <w:contextualSpacing/>
        <w:jc w:val="both"/>
        <w:rPr>
          <w:rFonts w:eastAsia="Times New Roman"/>
          <w:bCs/>
          <w:kern w:val="18"/>
          <w:sz w:val="20"/>
          <w:szCs w:val="20"/>
          <w:lang w:eastAsia="es-ES"/>
        </w:rPr>
      </w:pPr>
    </w:p>
    <w:p w14:paraId="3B323F62" w14:textId="77777777" w:rsidR="00C37732" w:rsidRPr="003E0B07" w:rsidRDefault="00C37732" w:rsidP="00C37732">
      <w:pPr>
        <w:contextualSpacing/>
        <w:jc w:val="both"/>
        <w:outlineLvl w:val="0"/>
        <w:rPr>
          <w:rFonts w:eastAsia="Times New Roman"/>
          <w:b/>
          <w:bCs/>
          <w:kern w:val="18"/>
          <w:lang w:eastAsia="es-ES"/>
        </w:rPr>
      </w:pPr>
    </w:p>
    <w:p w14:paraId="11B66DF1" w14:textId="77777777" w:rsidR="00C37732" w:rsidRPr="003E0B07" w:rsidRDefault="00C37732" w:rsidP="00C37732">
      <w:pPr>
        <w:contextualSpacing/>
        <w:jc w:val="both"/>
        <w:outlineLvl w:val="0"/>
        <w:rPr>
          <w:rFonts w:eastAsia="Times New Roman"/>
          <w:b/>
          <w:bCs/>
          <w:kern w:val="18"/>
          <w:lang w:eastAsia="es-ES"/>
        </w:rPr>
      </w:pPr>
      <w:r w:rsidRPr="003E0B07">
        <w:rPr>
          <w:rFonts w:eastAsia="Times New Roman"/>
          <w:b/>
          <w:bCs/>
          <w:kern w:val="18"/>
          <w:lang w:eastAsia="es-ES"/>
        </w:rPr>
        <w:lastRenderedPageBreak/>
        <w:t>5. CONCLUSIONES</w:t>
      </w:r>
      <w:r>
        <w:rPr>
          <w:rFonts w:eastAsia="Times New Roman"/>
          <w:b/>
          <w:bCs/>
          <w:kern w:val="18"/>
          <w:lang w:eastAsia="es-ES"/>
        </w:rPr>
        <w:t xml:space="preserve"> </w:t>
      </w:r>
    </w:p>
    <w:p w14:paraId="1EA47A23" w14:textId="77777777" w:rsidR="00C37732" w:rsidRPr="005A5712" w:rsidRDefault="00C37732" w:rsidP="00754B0E">
      <w:pPr>
        <w:ind w:firstLine="426"/>
        <w:contextualSpacing/>
        <w:jc w:val="both"/>
        <w:rPr>
          <w:rFonts w:eastAsia="Times New Roman"/>
          <w:bCs/>
          <w:kern w:val="18"/>
          <w:lang w:eastAsia="es-ES"/>
        </w:rPr>
      </w:pPr>
      <w:r w:rsidRPr="00D727AE">
        <w:rPr>
          <w:rFonts w:eastAsia="Times New Roman"/>
          <w:bCs/>
          <w:kern w:val="18"/>
          <w:lang w:eastAsia="es-ES"/>
        </w:rPr>
        <w:t>En este trabajo se ha desarrollado</w:t>
      </w:r>
      <w:r w:rsidRPr="005A5712">
        <w:rPr>
          <w:rFonts w:eastAsia="Times New Roman"/>
          <w:bCs/>
          <w:kern w:val="18"/>
          <w:lang w:eastAsia="es-ES"/>
        </w:rPr>
        <w:t xml:space="preserve"> un método sencillo de valoración y zonificación de la vulnerabilidad frente al riesgo de inundación en áreas turísticas costeras de espacios insulares, caracterizadas por una precipitación media anual muy baja, pero de irregularidad acusada. Este hecho, unido a una urbanización acelerada por la presión turística, incrementa el factor de riesgo de inundación. El peligro en estos enclaves se relaciona con procesos supeditados a la transferencia de caudal en un contexto marcado por la ocupación de pequeños cauces y barranqueras</w:t>
      </w:r>
      <w:r>
        <w:rPr>
          <w:rFonts w:eastAsia="Times New Roman"/>
          <w:bCs/>
          <w:kern w:val="18"/>
          <w:lang w:eastAsia="es-ES"/>
        </w:rPr>
        <w:t>,</w:t>
      </w:r>
      <w:r w:rsidRPr="005A5712">
        <w:rPr>
          <w:rFonts w:eastAsia="Times New Roman"/>
          <w:bCs/>
          <w:kern w:val="18"/>
          <w:lang w:eastAsia="es-ES"/>
        </w:rPr>
        <w:t xml:space="preserve"> en los que se ha impuesto una disminución significativa de la capacidad de absorción del sustrato, conforme se ha transformado </w:t>
      </w:r>
      <w:r>
        <w:rPr>
          <w:rFonts w:eastAsia="Times New Roman"/>
          <w:bCs/>
          <w:kern w:val="18"/>
          <w:lang w:eastAsia="es-ES"/>
        </w:rPr>
        <w:t xml:space="preserve">en </w:t>
      </w:r>
      <w:r w:rsidRPr="005A5712">
        <w:rPr>
          <w:rFonts w:eastAsia="Times New Roman"/>
          <w:bCs/>
          <w:kern w:val="18"/>
          <w:lang w:eastAsia="es-ES"/>
        </w:rPr>
        <w:t>pavimento urbano.</w:t>
      </w:r>
    </w:p>
    <w:p w14:paraId="26EE6469" w14:textId="77777777" w:rsidR="00C37732" w:rsidRPr="00803AD4" w:rsidRDefault="00C37732" w:rsidP="00754B0E">
      <w:pPr>
        <w:ind w:firstLine="426"/>
        <w:contextualSpacing/>
        <w:jc w:val="both"/>
      </w:pPr>
      <w:r w:rsidRPr="005A5712">
        <w:rPr>
          <w:rFonts w:eastAsia="Times New Roman"/>
          <w:bCs/>
          <w:kern w:val="18"/>
          <w:lang w:eastAsia="es-ES"/>
        </w:rPr>
        <w:t xml:space="preserve">El método </w:t>
      </w:r>
      <w:r w:rsidRPr="00D727AE">
        <w:rPr>
          <w:rFonts w:eastAsia="Times New Roman"/>
          <w:bCs/>
          <w:kern w:val="18"/>
          <w:lang w:eastAsia="es-ES"/>
        </w:rPr>
        <w:t>propuesto</w:t>
      </w:r>
      <w:r>
        <w:rPr>
          <w:rFonts w:eastAsia="Times New Roman"/>
          <w:bCs/>
          <w:kern w:val="18"/>
          <w:lang w:eastAsia="es-ES"/>
        </w:rPr>
        <w:t xml:space="preserve"> p</w:t>
      </w:r>
      <w:r w:rsidRPr="005A5712">
        <w:rPr>
          <w:rFonts w:eastAsia="Times New Roman"/>
          <w:bCs/>
          <w:kern w:val="18"/>
          <w:lang w:eastAsia="es-ES"/>
        </w:rPr>
        <w:t xml:space="preserve">osibilita el establecimiento de claras diferencias de vulnerabilidad en unidades catastrales, con un índice que </w:t>
      </w:r>
      <w:r w:rsidRPr="00D727AE">
        <w:rPr>
          <w:rFonts w:eastAsia="Times New Roman"/>
          <w:bCs/>
          <w:kern w:val="18"/>
          <w:lang w:eastAsia="es-ES"/>
        </w:rPr>
        <w:t>se</w:t>
      </w:r>
      <w:r>
        <w:rPr>
          <w:rFonts w:eastAsia="Times New Roman"/>
          <w:bCs/>
          <w:kern w:val="18"/>
          <w:lang w:eastAsia="es-ES"/>
        </w:rPr>
        <w:t xml:space="preserve"> </w:t>
      </w:r>
      <w:r w:rsidRPr="005A5712">
        <w:rPr>
          <w:rFonts w:eastAsia="Times New Roman"/>
          <w:bCs/>
          <w:kern w:val="18"/>
          <w:lang w:eastAsia="es-ES"/>
        </w:rPr>
        <w:t xml:space="preserve">puede calcular con datos e información disponible de fácil acceso. Aunque no se haya efectuado el análisis habitual de las consecuencias y daños relacionados con el calado, así como </w:t>
      </w:r>
      <w:r w:rsidRPr="000D00F4">
        <w:rPr>
          <w:rFonts w:eastAsia="Times New Roman"/>
          <w:bCs/>
          <w:kern w:val="18"/>
          <w:lang w:eastAsia="es-ES"/>
        </w:rPr>
        <w:t>con otros aspectos de naturaleza económica,</w:t>
      </w:r>
      <w:r w:rsidRPr="005A5712">
        <w:rPr>
          <w:rFonts w:eastAsia="Times New Roman"/>
          <w:bCs/>
          <w:kern w:val="18"/>
          <w:lang w:eastAsia="es-ES"/>
        </w:rPr>
        <w:t xml:space="preserve"> los indicadores empleados caracterizan perfectamente la vulnerabilidad </w:t>
      </w:r>
      <w:r>
        <w:rPr>
          <w:rFonts w:eastAsia="Times New Roman"/>
          <w:bCs/>
          <w:kern w:val="18"/>
          <w:lang w:eastAsia="es-ES"/>
        </w:rPr>
        <w:t xml:space="preserve">en </w:t>
      </w:r>
      <w:r w:rsidRPr="005A5712">
        <w:rPr>
          <w:rFonts w:eastAsia="Times New Roman"/>
          <w:bCs/>
          <w:kern w:val="18"/>
          <w:lang w:eastAsia="es-ES"/>
        </w:rPr>
        <w:t xml:space="preserve">este tipo de enclaves. El índice </w:t>
      </w:r>
      <w:r w:rsidRPr="00D727AE">
        <w:rPr>
          <w:rFonts w:eastAsia="Times New Roman"/>
          <w:bCs/>
          <w:kern w:val="18"/>
          <w:lang w:eastAsia="es-ES"/>
        </w:rPr>
        <w:t>empleado</w:t>
      </w:r>
      <w:r>
        <w:rPr>
          <w:rFonts w:eastAsia="Times New Roman"/>
          <w:bCs/>
          <w:kern w:val="18"/>
          <w:lang w:eastAsia="es-ES"/>
        </w:rPr>
        <w:t xml:space="preserve"> </w:t>
      </w:r>
      <w:r w:rsidRPr="005A5712">
        <w:rPr>
          <w:rFonts w:eastAsia="Times New Roman"/>
          <w:bCs/>
          <w:kern w:val="18"/>
          <w:lang w:eastAsia="es-ES"/>
        </w:rPr>
        <w:t xml:space="preserve">contribuye, en definitiva, al planteamiento teórico a partir del </w:t>
      </w:r>
      <w:r w:rsidRPr="00D727AE">
        <w:rPr>
          <w:rFonts w:eastAsia="Times New Roman"/>
          <w:bCs/>
          <w:kern w:val="18"/>
          <w:lang w:eastAsia="es-ES"/>
        </w:rPr>
        <w:t>cual</w:t>
      </w:r>
      <w:r w:rsidRPr="00DC6016">
        <w:rPr>
          <w:rFonts w:eastAsia="Times New Roman"/>
          <w:bCs/>
          <w:kern w:val="18"/>
          <w:lang w:eastAsia="es-ES"/>
        </w:rPr>
        <w:t xml:space="preserve"> </w:t>
      </w:r>
      <w:r w:rsidRPr="00803AD4">
        <w:rPr>
          <w:rFonts w:eastAsia="Times New Roman"/>
          <w:bCs/>
          <w:kern w:val="18"/>
          <w:lang w:eastAsia="es-ES"/>
        </w:rPr>
        <w:t xml:space="preserve">abordar el análisis y diseño de acciones para planificar la evaluación y reducción del riesgo de inundación a escala local. Su interés es manifiesto en ámbitos costeros insulares, </w:t>
      </w:r>
      <w:r w:rsidRPr="00803AD4">
        <w:t xml:space="preserve">muy sensible a los impactos de las actuaciones antrópicas conforme se incrementa su utilización social. Uno espacios que son altamente vulnerables frente a los impactos del cambio climático, tanto por sus rasgos medioambientales como socioeconómicos, más aún cuando como </w:t>
      </w:r>
      <w:r w:rsidRPr="00D727AE">
        <w:t>en</w:t>
      </w:r>
      <w:r>
        <w:t xml:space="preserve"> </w:t>
      </w:r>
      <w:r w:rsidRPr="00803AD4">
        <w:t xml:space="preserve">el caso del presente </w:t>
      </w:r>
      <w:r w:rsidRPr="00D727AE">
        <w:t>estudio</w:t>
      </w:r>
      <w:r>
        <w:t xml:space="preserve"> </w:t>
      </w:r>
      <w:r w:rsidRPr="00803AD4">
        <w:t xml:space="preserve">poseen una alta dependencia de la actividad turística. En este contexto, el establecimiento de metodologías de evaluación de la </w:t>
      </w:r>
      <w:r w:rsidRPr="00D727AE">
        <w:t xml:space="preserve">vulnerabilidad, </w:t>
      </w:r>
      <w:r w:rsidRPr="00803AD4">
        <w:t>como la de esta investigación</w:t>
      </w:r>
      <w:r w:rsidRPr="00D727AE">
        <w:t>,</w:t>
      </w:r>
      <w:r w:rsidRPr="00803AD4">
        <w:t xml:space="preserve"> puede contribuir a </w:t>
      </w:r>
      <w:r w:rsidRPr="00D727AE">
        <w:t>definir</w:t>
      </w:r>
      <w:r w:rsidRPr="00DC6016">
        <w:t xml:space="preserve"> </w:t>
      </w:r>
      <w:r w:rsidRPr="00803AD4">
        <w:t xml:space="preserve">acciones concretas de adaptación al cambio climático, para evitar así la pérdida de competitividad y aumentar la resiliencia de </w:t>
      </w:r>
      <w:r w:rsidRPr="00D727AE">
        <w:t>destinos turísticos maduros</w:t>
      </w:r>
      <w:r>
        <w:t xml:space="preserve">, </w:t>
      </w:r>
      <w:r w:rsidRPr="00803AD4">
        <w:t>como</w:t>
      </w:r>
      <w:r>
        <w:t xml:space="preserve"> </w:t>
      </w:r>
      <w:r w:rsidRPr="00803AD4">
        <w:t>el suroeste de Tenerife.</w:t>
      </w:r>
    </w:p>
    <w:p w14:paraId="228EE5DD" w14:textId="77777777" w:rsidR="00C37732" w:rsidRDefault="00C37732" w:rsidP="00C37732">
      <w:pPr>
        <w:contextualSpacing/>
        <w:jc w:val="both"/>
        <w:rPr>
          <w:rFonts w:eastAsia="Times New Roman"/>
          <w:b/>
          <w:bCs/>
          <w:kern w:val="18"/>
          <w:lang w:eastAsia="es-ES"/>
        </w:rPr>
      </w:pPr>
    </w:p>
    <w:p w14:paraId="5F152154" w14:textId="77777777" w:rsidR="00C37732" w:rsidRPr="003E0B07" w:rsidRDefault="00C37732" w:rsidP="00C37732">
      <w:pPr>
        <w:contextualSpacing/>
        <w:jc w:val="both"/>
        <w:rPr>
          <w:rFonts w:eastAsia="Times New Roman"/>
          <w:b/>
          <w:bCs/>
          <w:kern w:val="18"/>
          <w:lang w:eastAsia="es-ES"/>
        </w:rPr>
      </w:pPr>
      <w:r w:rsidRPr="003E0B07">
        <w:rPr>
          <w:rFonts w:eastAsia="Times New Roman"/>
          <w:b/>
          <w:bCs/>
          <w:kern w:val="18"/>
          <w:lang w:eastAsia="es-ES"/>
        </w:rPr>
        <w:t>Agradecimientos</w:t>
      </w:r>
    </w:p>
    <w:p w14:paraId="48AC8FBF" w14:textId="5952E08C" w:rsidR="00C37732" w:rsidRPr="003E0B07" w:rsidRDefault="00C37732" w:rsidP="00C37732">
      <w:pPr>
        <w:contextualSpacing/>
        <w:jc w:val="both"/>
        <w:rPr>
          <w:rFonts w:eastAsia="Times New Roman"/>
          <w:bCs/>
          <w:kern w:val="18"/>
          <w:lang w:eastAsia="es-ES"/>
        </w:rPr>
      </w:pPr>
      <w:r w:rsidRPr="003E0B07">
        <w:rPr>
          <w:rFonts w:eastAsia="Times New Roman"/>
          <w:bCs/>
          <w:kern w:val="18"/>
          <w:lang w:eastAsia="es-ES"/>
        </w:rPr>
        <w:t>Este trabajo se inserta en el proyecto “</w:t>
      </w:r>
      <w:r w:rsidR="00A151A8" w:rsidRPr="00A151A8">
        <w:rPr>
          <w:rFonts w:eastAsia="Times New Roman"/>
          <w:b/>
          <w:bCs/>
          <w:kern w:val="18"/>
          <w:highlight w:val="yellow"/>
          <w:lang w:eastAsia="es-ES"/>
        </w:rPr>
        <w:t>NOMBRE PROYECTO</w:t>
      </w:r>
      <w:r w:rsidR="00A151A8">
        <w:rPr>
          <w:rFonts w:eastAsia="Times New Roman"/>
          <w:bCs/>
          <w:kern w:val="18"/>
          <w:lang w:eastAsia="es-ES"/>
        </w:rPr>
        <w:t>” (</w:t>
      </w:r>
      <w:r w:rsidR="00A151A8" w:rsidRPr="00A151A8">
        <w:rPr>
          <w:rFonts w:eastAsia="Times New Roman"/>
          <w:b/>
          <w:bCs/>
          <w:kern w:val="18"/>
          <w:highlight w:val="yellow"/>
          <w:lang w:eastAsia="es-ES"/>
        </w:rPr>
        <w:t>ACRÓNIMO</w:t>
      </w:r>
      <w:bookmarkStart w:id="1" w:name="_GoBack"/>
      <w:bookmarkEnd w:id="1"/>
      <w:r w:rsidRPr="003E0B07">
        <w:rPr>
          <w:rFonts w:eastAsia="Times New Roman"/>
          <w:bCs/>
          <w:kern w:val="18"/>
          <w:lang w:eastAsia="es-ES"/>
        </w:rPr>
        <w:t>), que financia la Agencia Canaria de Investigación, Innovación y Sociedad de la Información del Gobierno de Canarias y los fondos FEDER.</w:t>
      </w:r>
    </w:p>
    <w:p w14:paraId="1F13725F" w14:textId="77777777" w:rsidR="00C37732" w:rsidRDefault="00C37732" w:rsidP="00C37732">
      <w:pPr>
        <w:contextualSpacing/>
        <w:jc w:val="both"/>
        <w:outlineLvl w:val="0"/>
        <w:rPr>
          <w:rFonts w:eastAsia="Times New Roman"/>
          <w:b/>
          <w:bCs/>
          <w:kern w:val="18"/>
          <w:sz w:val="24"/>
          <w:szCs w:val="24"/>
          <w:lang w:eastAsia="es-ES"/>
        </w:rPr>
      </w:pPr>
    </w:p>
    <w:p w14:paraId="48177423" w14:textId="02390113" w:rsidR="00C37732" w:rsidRPr="00D81E9A" w:rsidRDefault="00C37732" w:rsidP="00C37732">
      <w:pPr>
        <w:contextualSpacing/>
        <w:jc w:val="both"/>
        <w:outlineLvl w:val="0"/>
        <w:rPr>
          <w:rFonts w:eastAsia="Times New Roman"/>
          <w:b/>
          <w:bCs/>
          <w:kern w:val="18"/>
          <w:lang w:eastAsia="es-ES"/>
        </w:rPr>
      </w:pPr>
      <w:r w:rsidRPr="00D81E9A">
        <w:rPr>
          <w:rFonts w:eastAsia="Times New Roman"/>
          <w:b/>
          <w:bCs/>
          <w:kern w:val="18"/>
          <w:lang w:eastAsia="es-ES"/>
        </w:rPr>
        <w:t xml:space="preserve">6. REFERENCIAS </w:t>
      </w:r>
    </w:p>
    <w:p w14:paraId="46CF4372" w14:textId="77777777" w:rsidR="00C37732" w:rsidRPr="004B1E4E" w:rsidRDefault="00C37732" w:rsidP="00C37732">
      <w:pPr>
        <w:spacing w:line="480" w:lineRule="auto"/>
        <w:ind w:left="720" w:hanging="720"/>
        <w:contextualSpacing/>
        <w:jc w:val="both"/>
        <w:outlineLvl w:val="0"/>
        <w:rPr>
          <w:rFonts w:eastAsia="Times New Roman"/>
          <w:bCs/>
          <w:kern w:val="18"/>
          <w:sz w:val="20"/>
          <w:szCs w:val="20"/>
          <w:lang w:eastAsia="es-ES"/>
        </w:rPr>
      </w:pPr>
      <w:r>
        <w:rPr>
          <w:rFonts w:eastAsia="Times New Roman"/>
          <w:bCs/>
          <w:kern w:val="18"/>
          <w:sz w:val="20"/>
          <w:szCs w:val="20"/>
          <w:lang w:eastAsia="es-ES"/>
        </w:rPr>
        <w:t xml:space="preserve">AEMET. </w:t>
      </w:r>
      <w:r w:rsidRPr="004B1E4E">
        <w:rPr>
          <w:rFonts w:eastAsia="Times New Roman"/>
          <w:bCs/>
          <w:kern w:val="18"/>
          <w:sz w:val="20"/>
          <w:szCs w:val="20"/>
          <w:lang w:eastAsia="es-ES"/>
        </w:rPr>
        <w:t xml:space="preserve">(2018): Datos del observatorio meteorológico de Arona C427A. </w:t>
      </w:r>
    </w:p>
    <w:p w14:paraId="185B595D" w14:textId="77777777" w:rsidR="00C37732" w:rsidRPr="00304F3B" w:rsidRDefault="00C37732" w:rsidP="00C37732">
      <w:pPr>
        <w:spacing w:line="480" w:lineRule="auto"/>
        <w:ind w:left="720" w:hanging="720"/>
        <w:contextualSpacing/>
        <w:jc w:val="both"/>
        <w:rPr>
          <w:rFonts w:eastAsia="Times New Roman"/>
          <w:bCs/>
          <w:kern w:val="18"/>
          <w:sz w:val="20"/>
          <w:szCs w:val="20"/>
          <w:lang w:val="es-ES_tradnl" w:eastAsia="es-ES"/>
        </w:rPr>
      </w:pPr>
      <w:proofErr w:type="spellStart"/>
      <w:r w:rsidRPr="002B04B6">
        <w:rPr>
          <w:rFonts w:eastAsia="Times New Roman"/>
          <w:bCs/>
          <w:kern w:val="18"/>
          <w:sz w:val="20"/>
          <w:szCs w:val="20"/>
          <w:lang w:val="en-US" w:eastAsia="es-ES"/>
        </w:rPr>
        <w:lastRenderedPageBreak/>
        <w:t>Aroca</w:t>
      </w:r>
      <w:proofErr w:type="spellEnd"/>
      <w:r w:rsidRPr="002B04B6">
        <w:rPr>
          <w:rFonts w:eastAsia="Times New Roman"/>
          <w:bCs/>
          <w:kern w:val="18"/>
          <w:sz w:val="20"/>
          <w:szCs w:val="20"/>
          <w:lang w:val="en-US" w:eastAsia="es-ES"/>
        </w:rPr>
        <w:t xml:space="preserve">-Jiménez, E., </w:t>
      </w:r>
      <w:proofErr w:type="spellStart"/>
      <w:r w:rsidRPr="002B04B6">
        <w:rPr>
          <w:rFonts w:eastAsia="Times New Roman"/>
          <w:bCs/>
          <w:kern w:val="18"/>
          <w:sz w:val="20"/>
          <w:szCs w:val="20"/>
          <w:lang w:val="en-US" w:eastAsia="es-ES"/>
        </w:rPr>
        <w:t>Bodeque</w:t>
      </w:r>
      <w:proofErr w:type="spellEnd"/>
      <w:r w:rsidRPr="002B04B6">
        <w:rPr>
          <w:rFonts w:eastAsia="Times New Roman"/>
          <w:bCs/>
          <w:kern w:val="18"/>
          <w:sz w:val="20"/>
          <w:szCs w:val="20"/>
          <w:lang w:val="en-US" w:eastAsia="es-ES"/>
        </w:rPr>
        <w:t xml:space="preserve">, J., </w:t>
      </w:r>
      <w:proofErr w:type="spellStart"/>
      <w:r w:rsidRPr="002B04B6">
        <w:rPr>
          <w:rFonts w:eastAsia="Times New Roman"/>
          <w:bCs/>
          <w:kern w:val="18"/>
          <w:sz w:val="20"/>
          <w:szCs w:val="20"/>
          <w:lang w:val="en-US" w:eastAsia="es-ES"/>
        </w:rPr>
        <w:t>García</w:t>
      </w:r>
      <w:proofErr w:type="spellEnd"/>
      <w:r w:rsidRPr="002B04B6">
        <w:rPr>
          <w:rFonts w:eastAsia="Times New Roman"/>
          <w:bCs/>
          <w:kern w:val="18"/>
          <w:sz w:val="20"/>
          <w:szCs w:val="20"/>
          <w:lang w:val="en-US" w:eastAsia="es-ES"/>
        </w:rPr>
        <w:t xml:space="preserve">, J. y </w:t>
      </w:r>
      <w:proofErr w:type="spellStart"/>
      <w:r w:rsidRPr="002B04B6">
        <w:rPr>
          <w:rFonts w:eastAsia="Times New Roman"/>
          <w:bCs/>
          <w:kern w:val="18"/>
          <w:sz w:val="20"/>
          <w:szCs w:val="20"/>
          <w:lang w:val="en-US" w:eastAsia="es-ES"/>
        </w:rPr>
        <w:t>Díez</w:t>
      </w:r>
      <w:proofErr w:type="spellEnd"/>
      <w:r w:rsidRPr="002B04B6">
        <w:rPr>
          <w:rFonts w:eastAsia="Times New Roman"/>
          <w:bCs/>
          <w:kern w:val="18"/>
          <w:sz w:val="20"/>
          <w:szCs w:val="20"/>
          <w:lang w:val="en-US" w:eastAsia="es-ES"/>
        </w:rPr>
        <w:t>-Herrero, A. (2018):</w:t>
      </w:r>
      <w:r w:rsidRPr="00475A9E">
        <w:rPr>
          <w:rFonts w:eastAsia="Times New Roman"/>
          <w:bCs/>
          <w:kern w:val="18"/>
          <w:sz w:val="20"/>
          <w:szCs w:val="20"/>
          <w:lang w:val="en-US" w:eastAsia="es-ES"/>
        </w:rPr>
        <w:t xml:space="preserve"> A quantitative methodology for the assessment of the regional economic vulnerability to flash floods. </w:t>
      </w:r>
      <w:proofErr w:type="spellStart"/>
      <w:r w:rsidRPr="00304F3B">
        <w:rPr>
          <w:rFonts w:eastAsia="Times New Roman"/>
          <w:bCs/>
          <w:i/>
          <w:kern w:val="18"/>
          <w:sz w:val="20"/>
          <w:szCs w:val="20"/>
          <w:lang w:val="es-ES_tradnl" w:eastAsia="es-ES"/>
        </w:rPr>
        <w:t>Journal</w:t>
      </w:r>
      <w:proofErr w:type="spellEnd"/>
      <w:r w:rsidRPr="00304F3B">
        <w:rPr>
          <w:rFonts w:eastAsia="Times New Roman"/>
          <w:bCs/>
          <w:i/>
          <w:kern w:val="18"/>
          <w:sz w:val="20"/>
          <w:szCs w:val="20"/>
          <w:lang w:val="es-ES_tradnl" w:eastAsia="es-ES"/>
        </w:rPr>
        <w:t xml:space="preserve"> of </w:t>
      </w:r>
      <w:proofErr w:type="spellStart"/>
      <w:r w:rsidRPr="00304F3B">
        <w:rPr>
          <w:rFonts w:eastAsia="Times New Roman"/>
          <w:bCs/>
          <w:i/>
          <w:kern w:val="18"/>
          <w:sz w:val="20"/>
          <w:szCs w:val="20"/>
          <w:lang w:val="es-ES_tradnl" w:eastAsia="es-ES"/>
        </w:rPr>
        <w:t>Hidrology</w:t>
      </w:r>
      <w:proofErr w:type="spellEnd"/>
      <w:r w:rsidRPr="00304F3B">
        <w:rPr>
          <w:rFonts w:eastAsia="Times New Roman"/>
          <w:bCs/>
          <w:kern w:val="18"/>
          <w:sz w:val="20"/>
          <w:szCs w:val="20"/>
          <w:lang w:val="es-ES_tradnl" w:eastAsia="es-ES"/>
        </w:rPr>
        <w:t>, 565, 386-399.</w:t>
      </w:r>
    </w:p>
    <w:p w14:paraId="037FFC50" w14:textId="77777777" w:rsidR="00C37732" w:rsidRPr="004B1E4E" w:rsidRDefault="00C37732" w:rsidP="00C37732">
      <w:pPr>
        <w:spacing w:line="480" w:lineRule="auto"/>
        <w:ind w:left="720" w:hanging="720"/>
        <w:contextualSpacing/>
        <w:jc w:val="both"/>
        <w:rPr>
          <w:rFonts w:eastAsia="Times New Roman"/>
          <w:bCs/>
          <w:kern w:val="18"/>
          <w:sz w:val="20"/>
          <w:szCs w:val="20"/>
          <w:lang w:eastAsia="es-ES"/>
        </w:rPr>
      </w:pPr>
      <w:proofErr w:type="spellStart"/>
      <w:r w:rsidRPr="002B04B6">
        <w:rPr>
          <w:rFonts w:eastAsia="Times New Roman"/>
          <w:bCs/>
          <w:kern w:val="18"/>
          <w:sz w:val="20"/>
          <w:szCs w:val="20"/>
          <w:lang w:val="es-ES_tradnl" w:eastAsia="es-ES"/>
        </w:rPr>
        <w:t>Camarasa</w:t>
      </w:r>
      <w:proofErr w:type="spellEnd"/>
      <w:r w:rsidRPr="002B04B6">
        <w:rPr>
          <w:rFonts w:eastAsia="Times New Roman"/>
          <w:bCs/>
          <w:kern w:val="18"/>
          <w:sz w:val="20"/>
          <w:szCs w:val="20"/>
          <w:lang w:val="es-ES_tradnl" w:eastAsia="es-ES"/>
        </w:rPr>
        <w:t xml:space="preserve"> Belmonte, A. M., López-G</w:t>
      </w:r>
      <w:proofErr w:type="spellStart"/>
      <w:r w:rsidRPr="004B1E4E">
        <w:rPr>
          <w:rFonts w:eastAsia="Times New Roman"/>
          <w:bCs/>
          <w:kern w:val="18"/>
          <w:sz w:val="20"/>
          <w:szCs w:val="20"/>
          <w:lang w:eastAsia="es-ES"/>
        </w:rPr>
        <w:t>arcía</w:t>
      </w:r>
      <w:proofErr w:type="spellEnd"/>
      <w:r w:rsidRPr="004B1E4E">
        <w:rPr>
          <w:rFonts w:eastAsia="Times New Roman"/>
          <w:bCs/>
          <w:kern w:val="18"/>
          <w:sz w:val="20"/>
          <w:szCs w:val="20"/>
          <w:lang w:eastAsia="es-ES"/>
        </w:rPr>
        <w:t xml:space="preserve">, M. J. y </w:t>
      </w:r>
      <w:r>
        <w:rPr>
          <w:rFonts w:eastAsia="Times New Roman"/>
          <w:bCs/>
          <w:kern w:val="18"/>
          <w:sz w:val="20"/>
          <w:szCs w:val="20"/>
          <w:lang w:eastAsia="es-ES"/>
        </w:rPr>
        <w:t>Soriano G</w:t>
      </w:r>
      <w:r w:rsidRPr="004B1E4E">
        <w:rPr>
          <w:rFonts w:eastAsia="Times New Roman"/>
          <w:bCs/>
          <w:kern w:val="18"/>
          <w:sz w:val="20"/>
          <w:szCs w:val="20"/>
          <w:lang w:eastAsia="es-ES"/>
        </w:rPr>
        <w:t xml:space="preserve">arcía, J. (2008): Cartografía de vulnerabilidad frente a inundaciones en llanos mediterráneos: caso de estudio del </w:t>
      </w:r>
      <w:proofErr w:type="spellStart"/>
      <w:r w:rsidRPr="004B1E4E">
        <w:rPr>
          <w:rFonts w:eastAsia="Times New Roman"/>
          <w:bCs/>
          <w:kern w:val="18"/>
          <w:sz w:val="20"/>
          <w:szCs w:val="20"/>
          <w:lang w:eastAsia="es-ES"/>
        </w:rPr>
        <w:t>Barranc</w:t>
      </w:r>
      <w:proofErr w:type="spellEnd"/>
      <w:r w:rsidRPr="004B1E4E">
        <w:rPr>
          <w:rFonts w:eastAsia="Times New Roman"/>
          <w:bCs/>
          <w:kern w:val="18"/>
          <w:sz w:val="20"/>
          <w:szCs w:val="20"/>
          <w:lang w:eastAsia="es-ES"/>
        </w:rPr>
        <w:t xml:space="preserve"> de </w:t>
      </w:r>
      <w:proofErr w:type="spellStart"/>
      <w:r w:rsidRPr="004B1E4E">
        <w:rPr>
          <w:rFonts w:eastAsia="Times New Roman"/>
          <w:bCs/>
          <w:kern w:val="18"/>
          <w:sz w:val="20"/>
          <w:szCs w:val="20"/>
          <w:lang w:eastAsia="es-ES"/>
        </w:rPr>
        <w:t>Carraixet</w:t>
      </w:r>
      <w:proofErr w:type="spellEnd"/>
      <w:r w:rsidRPr="004B1E4E">
        <w:rPr>
          <w:rFonts w:eastAsia="Times New Roman"/>
          <w:bCs/>
          <w:kern w:val="18"/>
          <w:sz w:val="20"/>
          <w:szCs w:val="20"/>
          <w:lang w:eastAsia="es-ES"/>
        </w:rPr>
        <w:t xml:space="preserve"> y Rambla de Poyo</w:t>
      </w:r>
      <w:r>
        <w:rPr>
          <w:rStyle w:val="st1"/>
          <w:color w:val="000000"/>
          <w:sz w:val="20"/>
          <w:szCs w:val="20"/>
          <w:lang w:val="ca-ES"/>
        </w:rPr>
        <w:t>.</w:t>
      </w:r>
      <w:r w:rsidRPr="004B1E4E">
        <w:rPr>
          <w:rFonts w:eastAsia="Times New Roman"/>
          <w:bCs/>
          <w:kern w:val="18"/>
          <w:sz w:val="20"/>
          <w:szCs w:val="20"/>
          <w:lang w:eastAsia="es-ES"/>
        </w:rPr>
        <w:t xml:space="preserve"> </w:t>
      </w:r>
      <w:r w:rsidRPr="004B1E4E">
        <w:rPr>
          <w:rFonts w:eastAsia="Times New Roman"/>
          <w:bCs/>
          <w:i/>
          <w:kern w:val="18"/>
          <w:sz w:val="20"/>
          <w:szCs w:val="20"/>
          <w:lang w:eastAsia="es-ES"/>
        </w:rPr>
        <w:t>Serie Geográfica - Profesora María de los Ángeles Díaz Muñoz, In Memoriam</w:t>
      </w:r>
      <w:r w:rsidRPr="004B1E4E">
        <w:rPr>
          <w:rFonts w:eastAsia="Times New Roman"/>
          <w:bCs/>
          <w:kern w:val="18"/>
          <w:sz w:val="20"/>
          <w:szCs w:val="20"/>
          <w:lang w:eastAsia="es-ES"/>
        </w:rPr>
        <w:t>, 14, 75-91.</w:t>
      </w:r>
    </w:p>
    <w:p w14:paraId="5FFF2D07" w14:textId="77777777" w:rsidR="00C37732" w:rsidRPr="00D81E9A" w:rsidRDefault="00C37732" w:rsidP="00C37732">
      <w:pPr>
        <w:spacing w:line="480" w:lineRule="auto"/>
        <w:ind w:left="720" w:hanging="720"/>
        <w:contextualSpacing/>
        <w:jc w:val="both"/>
        <w:rPr>
          <w:rFonts w:eastAsia="Times New Roman"/>
          <w:bCs/>
          <w:kern w:val="18"/>
          <w:sz w:val="20"/>
          <w:szCs w:val="20"/>
          <w:lang w:val="en-US" w:eastAsia="es-ES"/>
        </w:rPr>
      </w:pPr>
      <w:r w:rsidRPr="004B1E4E">
        <w:rPr>
          <w:rFonts w:eastAsia="Times New Roman"/>
          <w:bCs/>
          <w:kern w:val="18"/>
          <w:sz w:val="20"/>
          <w:szCs w:val="20"/>
          <w:lang w:eastAsia="es-ES"/>
        </w:rPr>
        <w:t xml:space="preserve">Cardona A. O. (2006): </w:t>
      </w:r>
      <w:r>
        <w:rPr>
          <w:rFonts w:eastAsia="Times New Roman"/>
          <w:bCs/>
          <w:i/>
          <w:kern w:val="18"/>
          <w:sz w:val="20"/>
          <w:szCs w:val="20"/>
          <w:lang w:eastAsia="es-ES"/>
        </w:rPr>
        <w:t>“</w:t>
      </w:r>
      <w:r w:rsidRPr="004B1E4E">
        <w:rPr>
          <w:rFonts w:eastAsia="Times New Roman"/>
          <w:bCs/>
          <w:i/>
          <w:kern w:val="18"/>
          <w:sz w:val="20"/>
          <w:szCs w:val="20"/>
          <w:lang w:eastAsia="es-ES"/>
        </w:rPr>
        <w:t>Midiendo lo Inmedible” Indicadores de Vulnerabilidad y Riesgo</w:t>
      </w:r>
      <w:r w:rsidRPr="004B1E4E">
        <w:rPr>
          <w:rFonts w:eastAsia="Times New Roman"/>
          <w:bCs/>
          <w:kern w:val="18"/>
          <w:sz w:val="20"/>
          <w:szCs w:val="20"/>
          <w:lang w:eastAsia="es-ES"/>
        </w:rPr>
        <w:t xml:space="preserve">. </w:t>
      </w:r>
      <w:r w:rsidRPr="00D81E9A">
        <w:rPr>
          <w:rFonts w:eastAsia="Times New Roman"/>
          <w:bCs/>
          <w:kern w:val="18"/>
          <w:sz w:val="20"/>
          <w:szCs w:val="20"/>
          <w:lang w:val="en-US" w:eastAsia="es-ES"/>
        </w:rPr>
        <w:t xml:space="preserve">Universidad Nacional de Colombia - </w:t>
      </w:r>
      <w:proofErr w:type="spellStart"/>
      <w:r w:rsidRPr="00D81E9A">
        <w:rPr>
          <w:rFonts w:eastAsia="Times New Roman"/>
          <w:bCs/>
          <w:kern w:val="18"/>
          <w:sz w:val="20"/>
          <w:szCs w:val="20"/>
          <w:lang w:val="en-US" w:eastAsia="es-ES"/>
        </w:rPr>
        <w:t>Sede</w:t>
      </w:r>
      <w:proofErr w:type="spellEnd"/>
      <w:r w:rsidRPr="00D81E9A">
        <w:rPr>
          <w:rFonts w:eastAsia="Times New Roman"/>
          <w:bCs/>
          <w:kern w:val="18"/>
          <w:sz w:val="20"/>
          <w:szCs w:val="20"/>
          <w:lang w:val="en-US" w:eastAsia="es-ES"/>
        </w:rPr>
        <w:t xml:space="preserve"> Manizales.</w:t>
      </w:r>
    </w:p>
    <w:p w14:paraId="5B6F4693" w14:textId="77777777" w:rsidR="00C37732" w:rsidRPr="004B1E4E" w:rsidRDefault="00C37732" w:rsidP="00C37732">
      <w:pPr>
        <w:spacing w:line="480" w:lineRule="auto"/>
        <w:ind w:left="720" w:hanging="720"/>
        <w:contextualSpacing/>
        <w:jc w:val="both"/>
        <w:rPr>
          <w:rFonts w:eastAsia="Times New Roman"/>
          <w:bCs/>
          <w:kern w:val="18"/>
          <w:sz w:val="20"/>
          <w:szCs w:val="20"/>
          <w:lang w:val="en-GB" w:eastAsia="es-ES"/>
        </w:rPr>
      </w:pPr>
      <w:r w:rsidRPr="004B1E4E">
        <w:rPr>
          <w:rFonts w:eastAsia="Times New Roman"/>
          <w:bCs/>
          <w:kern w:val="18"/>
          <w:sz w:val="20"/>
          <w:szCs w:val="20"/>
          <w:lang w:val="en-GB" w:eastAsia="es-ES"/>
        </w:rPr>
        <w:t xml:space="preserve">Cardona, O.D., </w:t>
      </w:r>
      <w:r>
        <w:rPr>
          <w:rFonts w:eastAsia="Times New Roman"/>
          <w:bCs/>
          <w:kern w:val="18"/>
          <w:sz w:val="20"/>
          <w:szCs w:val="20"/>
          <w:lang w:val="en-GB" w:eastAsia="es-ES"/>
        </w:rPr>
        <w:t>Van A</w:t>
      </w:r>
      <w:r w:rsidRPr="004B1E4E">
        <w:rPr>
          <w:rFonts w:eastAsia="Times New Roman"/>
          <w:bCs/>
          <w:kern w:val="18"/>
          <w:sz w:val="20"/>
          <w:szCs w:val="20"/>
          <w:lang w:val="en-GB" w:eastAsia="es-ES"/>
        </w:rPr>
        <w:t xml:space="preserve">alst, M.K., </w:t>
      </w:r>
      <w:proofErr w:type="spellStart"/>
      <w:r w:rsidRPr="004B1E4E">
        <w:rPr>
          <w:rFonts w:eastAsia="Times New Roman"/>
          <w:bCs/>
          <w:kern w:val="18"/>
          <w:sz w:val="20"/>
          <w:szCs w:val="20"/>
          <w:lang w:val="en-GB" w:eastAsia="es-ES"/>
        </w:rPr>
        <w:t>Birkmann</w:t>
      </w:r>
      <w:proofErr w:type="spellEnd"/>
      <w:r w:rsidRPr="004B1E4E">
        <w:rPr>
          <w:rFonts w:eastAsia="Times New Roman"/>
          <w:bCs/>
          <w:kern w:val="18"/>
          <w:sz w:val="20"/>
          <w:szCs w:val="20"/>
          <w:lang w:val="en-GB" w:eastAsia="es-ES"/>
        </w:rPr>
        <w:t xml:space="preserve">, J., Fordham, M., </w:t>
      </w:r>
      <w:proofErr w:type="spellStart"/>
      <w:r w:rsidRPr="004B1E4E">
        <w:rPr>
          <w:rFonts w:eastAsia="Times New Roman"/>
          <w:bCs/>
          <w:kern w:val="18"/>
          <w:sz w:val="20"/>
          <w:szCs w:val="20"/>
          <w:lang w:val="en-GB" w:eastAsia="es-ES"/>
        </w:rPr>
        <w:t>Mcgregor</w:t>
      </w:r>
      <w:proofErr w:type="spellEnd"/>
      <w:r w:rsidRPr="004B1E4E">
        <w:rPr>
          <w:rFonts w:eastAsia="Times New Roman"/>
          <w:bCs/>
          <w:kern w:val="18"/>
          <w:sz w:val="20"/>
          <w:szCs w:val="20"/>
          <w:lang w:val="en-GB" w:eastAsia="es-ES"/>
        </w:rPr>
        <w:t xml:space="preserve">, G., Perez, R., </w:t>
      </w:r>
      <w:proofErr w:type="spellStart"/>
      <w:r w:rsidRPr="004B1E4E">
        <w:rPr>
          <w:rFonts w:eastAsia="Times New Roman"/>
          <w:bCs/>
          <w:kern w:val="18"/>
          <w:sz w:val="20"/>
          <w:szCs w:val="20"/>
          <w:lang w:val="en-GB" w:eastAsia="es-ES"/>
        </w:rPr>
        <w:t>Pulwarty</w:t>
      </w:r>
      <w:proofErr w:type="spellEnd"/>
      <w:r w:rsidRPr="004B1E4E">
        <w:rPr>
          <w:rFonts w:eastAsia="Times New Roman"/>
          <w:bCs/>
          <w:kern w:val="18"/>
          <w:sz w:val="20"/>
          <w:szCs w:val="20"/>
          <w:lang w:val="en-GB" w:eastAsia="es-ES"/>
        </w:rPr>
        <w:t xml:space="preserve">, R.S., </w:t>
      </w:r>
      <w:proofErr w:type="spellStart"/>
      <w:r w:rsidRPr="004B1E4E">
        <w:rPr>
          <w:rFonts w:eastAsia="Times New Roman"/>
          <w:bCs/>
          <w:kern w:val="18"/>
          <w:sz w:val="20"/>
          <w:szCs w:val="20"/>
          <w:lang w:val="en-GB" w:eastAsia="es-ES"/>
        </w:rPr>
        <w:t>Schipper</w:t>
      </w:r>
      <w:proofErr w:type="spellEnd"/>
      <w:r w:rsidRPr="004B1E4E">
        <w:rPr>
          <w:rFonts w:eastAsia="Times New Roman"/>
          <w:bCs/>
          <w:kern w:val="18"/>
          <w:sz w:val="20"/>
          <w:szCs w:val="20"/>
          <w:lang w:val="en-GB" w:eastAsia="es-ES"/>
        </w:rPr>
        <w:t xml:space="preserve">, E.L.F., &amp; </w:t>
      </w:r>
      <w:proofErr w:type="spellStart"/>
      <w:r w:rsidRPr="004B1E4E">
        <w:rPr>
          <w:rFonts w:eastAsia="Times New Roman"/>
          <w:bCs/>
          <w:kern w:val="18"/>
          <w:sz w:val="20"/>
          <w:szCs w:val="20"/>
          <w:lang w:val="en-GB" w:eastAsia="es-ES"/>
        </w:rPr>
        <w:t>Sinh</w:t>
      </w:r>
      <w:proofErr w:type="spellEnd"/>
      <w:r w:rsidRPr="004B1E4E">
        <w:rPr>
          <w:rFonts w:eastAsia="Times New Roman"/>
          <w:bCs/>
          <w:kern w:val="18"/>
          <w:sz w:val="20"/>
          <w:szCs w:val="20"/>
          <w:lang w:val="en-GB" w:eastAsia="es-ES"/>
        </w:rPr>
        <w:t>, B.T. (2012): A Special Report of Working Groups I and II of the Intergovernmental Panel on Climate Change (IPCC)</w:t>
      </w:r>
      <w:r>
        <w:rPr>
          <w:rStyle w:val="st1"/>
          <w:color w:val="000000"/>
          <w:sz w:val="20"/>
          <w:szCs w:val="20"/>
          <w:lang w:val="ca-ES"/>
        </w:rPr>
        <w:t>.</w:t>
      </w:r>
      <w:r w:rsidRPr="004B1E4E">
        <w:rPr>
          <w:rFonts w:eastAsia="Times New Roman"/>
          <w:bCs/>
          <w:kern w:val="18"/>
          <w:sz w:val="20"/>
          <w:szCs w:val="20"/>
          <w:lang w:val="en-GB" w:eastAsia="es-ES"/>
        </w:rPr>
        <w:t xml:space="preserve"> </w:t>
      </w:r>
      <w:r w:rsidRPr="004B1E4E">
        <w:rPr>
          <w:rFonts w:eastAsia="Times New Roman"/>
          <w:bCs/>
          <w:i/>
          <w:kern w:val="18"/>
          <w:sz w:val="20"/>
          <w:szCs w:val="20"/>
          <w:lang w:val="en-GB" w:eastAsia="es-ES"/>
        </w:rPr>
        <w:t>Cambridge University Press</w:t>
      </w:r>
      <w:r w:rsidRPr="004B1E4E">
        <w:rPr>
          <w:rFonts w:eastAsia="Times New Roman"/>
          <w:bCs/>
          <w:kern w:val="18"/>
          <w:sz w:val="20"/>
          <w:szCs w:val="20"/>
          <w:lang w:val="en-GB" w:eastAsia="es-ES"/>
        </w:rPr>
        <w:t>, Cambridge, UK, and New York, NY, USA, 65-108.</w:t>
      </w:r>
    </w:p>
    <w:p w14:paraId="56F357DB" w14:textId="77777777" w:rsidR="00C37732" w:rsidRPr="004B1E4E" w:rsidRDefault="00C37732" w:rsidP="00C37732">
      <w:pPr>
        <w:spacing w:line="480" w:lineRule="auto"/>
        <w:ind w:left="720" w:hanging="720"/>
        <w:contextualSpacing/>
        <w:jc w:val="both"/>
        <w:rPr>
          <w:rFonts w:eastAsia="Times New Roman"/>
          <w:bCs/>
          <w:kern w:val="18"/>
          <w:sz w:val="20"/>
          <w:szCs w:val="20"/>
          <w:lang w:val="en-GB" w:eastAsia="es-ES"/>
        </w:rPr>
      </w:pPr>
      <w:proofErr w:type="spellStart"/>
      <w:r w:rsidRPr="004B1E4E">
        <w:rPr>
          <w:rFonts w:eastAsia="Times New Roman"/>
          <w:bCs/>
          <w:kern w:val="18"/>
          <w:sz w:val="20"/>
          <w:szCs w:val="20"/>
          <w:lang w:val="en-GB" w:eastAsia="es-ES"/>
        </w:rPr>
        <w:t>Balica</w:t>
      </w:r>
      <w:proofErr w:type="spellEnd"/>
      <w:r w:rsidRPr="004B1E4E">
        <w:rPr>
          <w:rFonts w:eastAsia="Times New Roman"/>
          <w:bCs/>
          <w:kern w:val="18"/>
          <w:sz w:val="20"/>
          <w:szCs w:val="20"/>
          <w:lang w:val="en-GB" w:eastAsia="es-ES"/>
        </w:rPr>
        <w:t xml:space="preserve">, S. F., Wright, N. G. &amp; Van Der </w:t>
      </w:r>
      <w:proofErr w:type="spellStart"/>
      <w:r w:rsidRPr="004B1E4E">
        <w:rPr>
          <w:rFonts w:eastAsia="Times New Roman"/>
          <w:bCs/>
          <w:kern w:val="18"/>
          <w:sz w:val="20"/>
          <w:szCs w:val="20"/>
          <w:lang w:val="en-GB" w:eastAsia="es-ES"/>
        </w:rPr>
        <w:t>Meulen</w:t>
      </w:r>
      <w:proofErr w:type="spellEnd"/>
      <w:r w:rsidRPr="004B1E4E">
        <w:rPr>
          <w:rFonts w:eastAsia="Times New Roman"/>
          <w:bCs/>
          <w:kern w:val="18"/>
          <w:sz w:val="20"/>
          <w:szCs w:val="20"/>
          <w:lang w:val="en-GB" w:eastAsia="es-ES"/>
        </w:rPr>
        <w:t>, F. (2012): A flood vulnerability index for coastal cities and its use in assessing climate change impacts</w:t>
      </w:r>
      <w:r>
        <w:rPr>
          <w:rStyle w:val="st1"/>
          <w:color w:val="000000"/>
          <w:sz w:val="20"/>
          <w:szCs w:val="20"/>
          <w:lang w:val="ca-ES"/>
        </w:rPr>
        <w:t>.</w:t>
      </w:r>
      <w:r w:rsidRPr="004B1E4E">
        <w:rPr>
          <w:rFonts w:eastAsia="Times New Roman"/>
          <w:bCs/>
          <w:kern w:val="18"/>
          <w:sz w:val="20"/>
          <w:szCs w:val="20"/>
          <w:lang w:val="en-GB" w:eastAsia="es-ES"/>
        </w:rPr>
        <w:t xml:space="preserve"> </w:t>
      </w:r>
      <w:r w:rsidRPr="004B1E4E">
        <w:rPr>
          <w:rFonts w:eastAsia="Times New Roman"/>
          <w:bCs/>
          <w:i/>
          <w:kern w:val="18"/>
          <w:sz w:val="20"/>
          <w:szCs w:val="20"/>
          <w:lang w:val="en-GB" w:eastAsia="es-ES"/>
        </w:rPr>
        <w:t>Natural hazards</w:t>
      </w:r>
      <w:r w:rsidRPr="004B1E4E">
        <w:rPr>
          <w:rFonts w:eastAsia="Times New Roman"/>
          <w:bCs/>
          <w:kern w:val="18"/>
          <w:sz w:val="20"/>
          <w:szCs w:val="20"/>
          <w:lang w:val="en-GB" w:eastAsia="es-ES"/>
        </w:rPr>
        <w:t>, 64(1), 73-105.</w:t>
      </w:r>
    </w:p>
    <w:p w14:paraId="507E6052" w14:textId="77777777" w:rsidR="00C37732" w:rsidRPr="004B1E4E" w:rsidRDefault="00C37732" w:rsidP="00C37732">
      <w:pPr>
        <w:spacing w:line="480" w:lineRule="auto"/>
        <w:ind w:left="720" w:hanging="720"/>
        <w:contextualSpacing/>
        <w:jc w:val="both"/>
        <w:rPr>
          <w:rFonts w:eastAsia="Times New Roman"/>
          <w:bCs/>
          <w:kern w:val="18"/>
          <w:sz w:val="20"/>
          <w:szCs w:val="20"/>
          <w:lang w:val="en-GB" w:eastAsia="es-ES"/>
        </w:rPr>
      </w:pPr>
      <w:proofErr w:type="spellStart"/>
      <w:r w:rsidRPr="004B1E4E">
        <w:rPr>
          <w:rFonts w:eastAsia="Times New Roman"/>
          <w:bCs/>
          <w:kern w:val="18"/>
          <w:sz w:val="20"/>
          <w:szCs w:val="20"/>
          <w:lang w:val="en-GB" w:eastAsia="es-ES"/>
        </w:rPr>
        <w:t>Birkmann</w:t>
      </w:r>
      <w:proofErr w:type="spellEnd"/>
      <w:r w:rsidRPr="004B1E4E">
        <w:rPr>
          <w:rFonts w:eastAsia="Times New Roman"/>
          <w:bCs/>
          <w:kern w:val="18"/>
          <w:sz w:val="20"/>
          <w:szCs w:val="20"/>
          <w:lang w:val="en-GB" w:eastAsia="es-ES"/>
        </w:rPr>
        <w:t>, J. (2007): Risk and vulnerability indicators at different scales: Applicability, usefulness and policy implications</w:t>
      </w:r>
      <w:r>
        <w:rPr>
          <w:rStyle w:val="st1"/>
          <w:color w:val="000000"/>
          <w:sz w:val="20"/>
          <w:szCs w:val="20"/>
          <w:lang w:val="ca-ES"/>
        </w:rPr>
        <w:t>.</w:t>
      </w:r>
      <w:r w:rsidRPr="004B1E4E">
        <w:rPr>
          <w:rStyle w:val="st1"/>
          <w:color w:val="000000"/>
          <w:sz w:val="20"/>
          <w:szCs w:val="20"/>
          <w:lang w:val="ca-ES"/>
        </w:rPr>
        <w:t xml:space="preserve"> </w:t>
      </w:r>
      <w:r w:rsidRPr="004B1E4E">
        <w:rPr>
          <w:rFonts w:eastAsia="Times New Roman"/>
          <w:bCs/>
          <w:i/>
          <w:kern w:val="18"/>
          <w:sz w:val="20"/>
          <w:szCs w:val="20"/>
          <w:lang w:val="en-GB" w:eastAsia="es-ES"/>
        </w:rPr>
        <w:t>Environmental hazards</w:t>
      </w:r>
      <w:r w:rsidRPr="004B1E4E">
        <w:rPr>
          <w:rFonts w:eastAsia="Times New Roman"/>
          <w:bCs/>
          <w:kern w:val="18"/>
          <w:sz w:val="20"/>
          <w:szCs w:val="20"/>
          <w:lang w:val="en-GB" w:eastAsia="es-ES"/>
        </w:rPr>
        <w:t>, 7(1), 20-31.</w:t>
      </w:r>
    </w:p>
    <w:p w14:paraId="1B421BFB" w14:textId="77777777" w:rsidR="00C37732" w:rsidRPr="008C44E3" w:rsidRDefault="00C37732" w:rsidP="00C37732">
      <w:pPr>
        <w:spacing w:line="480" w:lineRule="auto"/>
        <w:ind w:left="720" w:hanging="720"/>
        <w:contextualSpacing/>
        <w:jc w:val="both"/>
        <w:outlineLvl w:val="0"/>
        <w:rPr>
          <w:rFonts w:eastAsia="Times New Roman"/>
          <w:bCs/>
          <w:kern w:val="18"/>
          <w:sz w:val="20"/>
          <w:szCs w:val="20"/>
          <w:lang w:val="en-GB" w:eastAsia="es-ES"/>
        </w:rPr>
      </w:pPr>
      <w:r w:rsidRPr="004B1E4E">
        <w:rPr>
          <w:rFonts w:eastAsia="Times New Roman"/>
          <w:bCs/>
          <w:kern w:val="18"/>
          <w:sz w:val="20"/>
          <w:szCs w:val="20"/>
          <w:lang w:val="en-GB" w:eastAsia="es-ES"/>
        </w:rPr>
        <w:t xml:space="preserve">Burton, I., Kates, R. </w:t>
      </w:r>
      <w:r>
        <w:rPr>
          <w:rFonts w:eastAsia="Times New Roman"/>
          <w:bCs/>
          <w:kern w:val="18"/>
          <w:sz w:val="20"/>
          <w:szCs w:val="20"/>
          <w:lang w:val="en-GB" w:eastAsia="es-ES"/>
        </w:rPr>
        <w:t>&amp;</w:t>
      </w:r>
      <w:r w:rsidRPr="004B1E4E">
        <w:rPr>
          <w:rFonts w:eastAsia="Times New Roman"/>
          <w:bCs/>
          <w:kern w:val="18"/>
          <w:sz w:val="20"/>
          <w:szCs w:val="20"/>
          <w:lang w:val="en-GB" w:eastAsia="es-ES"/>
        </w:rPr>
        <w:t xml:space="preserve"> White, G. (1993): </w:t>
      </w:r>
      <w:r w:rsidRPr="004B1E4E">
        <w:rPr>
          <w:rFonts w:eastAsia="Times New Roman"/>
          <w:bCs/>
          <w:i/>
          <w:kern w:val="18"/>
          <w:sz w:val="20"/>
          <w:szCs w:val="20"/>
          <w:lang w:val="en-GB" w:eastAsia="es-ES"/>
        </w:rPr>
        <w:t>The environment as hazard</w:t>
      </w:r>
      <w:r w:rsidRPr="004B1E4E">
        <w:rPr>
          <w:rFonts w:eastAsia="Times New Roman"/>
          <w:bCs/>
          <w:kern w:val="18"/>
          <w:sz w:val="20"/>
          <w:szCs w:val="20"/>
          <w:lang w:val="en-GB" w:eastAsia="es-ES"/>
        </w:rPr>
        <w:t xml:space="preserve">. </w:t>
      </w:r>
      <w:r>
        <w:rPr>
          <w:rFonts w:eastAsia="Times New Roman"/>
          <w:bCs/>
          <w:kern w:val="18"/>
          <w:sz w:val="20"/>
          <w:szCs w:val="20"/>
          <w:lang w:val="en-GB" w:eastAsia="es-ES"/>
        </w:rPr>
        <w:t xml:space="preserve">UK, </w:t>
      </w:r>
      <w:r w:rsidRPr="008C44E3">
        <w:rPr>
          <w:rFonts w:eastAsia="Times New Roman"/>
          <w:bCs/>
          <w:kern w:val="18"/>
          <w:sz w:val="20"/>
          <w:szCs w:val="20"/>
          <w:lang w:val="en-GB" w:eastAsia="es-ES"/>
        </w:rPr>
        <w:t>Guilford press.</w:t>
      </w:r>
    </w:p>
    <w:p w14:paraId="52383F21" w14:textId="77777777" w:rsidR="00C37732" w:rsidRPr="00304F3B" w:rsidRDefault="00C37732" w:rsidP="00C37732">
      <w:pPr>
        <w:spacing w:line="480" w:lineRule="auto"/>
        <w:ind w:left="720" w:hanging="720"/>
        <w:contextualSpacing/>
        <w:jc w:val="both"/>
        <w:rPr>
          <w:rFonts w:eastAsia="Times New Roman"/>
          <w:bCs/>
          <w:kern w:val="18"/>
          <w:sz w:val="20"/>
          <w:szCs w:val="20"/>
          <w:lang w:val="es-ES_tradnl" w:eastAsia="es-ES"/>
        </w:rPr>
      </w:pPr>
      <w:r w:rsidRPr="008C44E3">
        <w:rPr>
          <w:rFonts w:eastAsia="Times New Roman"/>
          <w:bCs/>
          <w:kern w:val="18"/>
          <w:sz w:val="20"/>
          <w:szCs w:val="20"/>
          <w:lang w:val="en-GB" w:eastAsia="es-ES"/>
        </w:rPr>
        <w:t xml:space="preserve">De León, V., y Carlos, J. (2006): </w:t>
      </w:r>
      <w:r w:rsidRPr="008C44E3">
        <w:rPr>
          <w:rFonts w:eastAsia="Times New Roman"/>
          <w:bCs/>
          <w:i/>
          <w:kern w:val="18"/>
          <w:sz w:val="20"/>
          <w:szCs w:val="20"/>
          <w:lang w:val="en-GB" w:eastAsia="es-ES"/>
        </w:rPr>
        <w:t xml:space="preserve">Vulnerability: a </w:t>
      </w:r>
      <w:proofErr w:type="spellStart"/>
      <w:r w:rsidRPr="008C44E3">
        <w:rPr>
          <w:rFonts w:eastAsia="Times New Roman"/>
          <w:bCs/>
          <w:i/>
          <w:kern w:val="18"/>
          <w:sz w:val="20"/>
          <w:szCs w:val="20"/>
          <w:lang w:val="en-GB" w:eastAsia="es-ES"/>
        </w:rPr>
        <w:t>conceptional</w:t>
      </w:r>
      <w:proofErr w:type="spellEnd"/>
      <w:r w:rsidRPr="008C44E3">
        <w:rPr>
          <w:rFonts w:eastAsia="Times New Roman"/>
          <w:bCs/>
          <w:i/>
          <w:kern w:val="18"/>
          <w:sz w:val="20"/>
          <w:szCs w:val="20"/>
          <w:lang w:val="en-GB" w:eastAsia="es-ES"/>
        </w:rPr>
        <w:t xml:space="preserve"> and methodological review</w:t>
      </w:r>
      <w:r w:rsidRPr="008C44E3">
        <w:rPr>
          <w:rFonts w:eastAsia="Times New Roman"/>
          <w:bCs/>
          <w:kern w:val="18"/>
          <w:sz w:val="20"/>
          <w:szCs w:val="20"/>
          <w:lang w:val="en-GB" w:eastAsia="es-ES"/>
        </w:rPr>
        <w:t xml:space="preserve">. </w:t>
      </w:r>
      <w:proofErr w:type="spellStart"/>
      <w:r w:rsidRPr="00304F3B">
        <w:rPr>
          <w:rFonts w:eastAsia="Times New Roman"/>
          <w:bCs/>
          <w:kern w:val="18"/>
          <w:sz w:val="20"/>
          <w:szCs w:val="20"/>
          <w:lang w:val="es-ES_tradnl" w:eastAsia="es-ES"/>
        </w:rPr>
        <w:t>Germany</w:t>
      </w:r>
      <w:proofErr w:type="spellEnd"/>
      <w:r w:rsidRPr="00304F3B">
        <w:rPr>
          <w:rFonts w:eastAsia="Times New Roman"/>
          <w:bCs/>
          <w:kern w:val="18"/>
          <w:sz w:val="20"/>
          <w:szCs w:val="20"/>
          <w:lang w:val="es-ES_tradnl" w:eastAsia="es-ES"/>
        </w:rPr>
        <w:t>, UNU-EHS.</w:t>
      </w:r>
    </w:p>
    <w:p w14:paraId="52DAB1C0" w14:textId="77777777" w:rsidR="00C37732" w:rsidRPr="00D81E9A" w:rsidRDefault="00C37732" w:rsidP="00C37732">
      <w:pPr>
        <w:spacing w:line="480" w:lineRule="auto"/>
        <w:ind w:left="720" w:hanging="720"/>
        <w:contextualSpacing/>
        <w:jc w:val="both"/>
        <w:rPr>
          <w:rFonts w:eastAsia="Times New Roman"/>
          <w:bCs/>
          <w:kern w:val="18"/>
          <w:sz w:val="20"/>
          <w:szCs w:val="20"/>
          <w:lang w:val="en-US" w:eastAsia="es-ES"/>
        </w:rPr>
      </w:pPr>
      <w:proofErr w:type="spellStart"/>
      <w:r w:rsidRPr="004B1E4E">
        <w:rPr>
          <w:rFonts w:eastAsia="Times New Roman"/>
          <w:bCs/>
          <w:kern w:val="18"/>
          <w:sz w:val="20"/>
          <w:szCs w:val="20"/>
          <w:lang w:eastAsia="es-ES"/>
        </w:rPr>
        <w:t>D'Ercole</w:t>
      </w:r>
      <w:proofErr w:type="spellEnd"/>
      <w:r w:rsidRPr="004B1E4E">
        <w:rPr>
          <w:rFonts w:eastAsia="Times New Roman"/>
          <w:bCs/>
          <w:kern w:val="18"/>
          <w:sz w:val="20"/>
          <w:szCs w:val="20"/>
          <w:lang w:eastAsia="es-ES"/>
        </w:rPr>
        <w:t xml:space="preserve">, R. </w:t>
      </w:r>
      <w:r>
        <w:rPr>
          <w:rFonts w:eastAsia="Times New Roman"/>
          <w:bCs/>
          <w:kern w:val="18"/>
          <w:sz w:val="20"/>
          <w:szCs w:val="20"/>
          <w:lang w:eastAsia="es-ES"/>
        </w:rPr>
        <w:t>y</w:t>
      </w:r>
      <w:r w:rsidRPr="004B1E4E">
        <w:rPr>
          <w:rFonts w:eastAsia="Times New Roman"/>
          <w:bCs/>
          <w:kern w:val="18"/>
          <w:sz w:val="20"/>
          <w:szCs w:val="20"/>
          <w:lang w:eastAsia="es-ES"/>
        </w:rPr>
        <w:t xml:space="preserve"> </w:t>
      </w:r>
      <w:proofErr w:type="spellStart"/>
      <w:r w:rsidRPr="004B1E4E">
        <w:rPr>
          <w:rFonts w:eastAsia="Times New Roman"/>
          <w:bCs/>
          <w:kern w:val="18"/>
          <w:sz w:val="20"/>
          <w:szCs w:val="20"/>
          <w:lang w:eastAsia="es-ES"/>
        </w:rPr>
        <w:t>Metzger</w:t>
      </w:r>
      <w:proofErr w:type="spellEnd"/>
      <w:r w:rsidRPr="004B1E4E">
        <w:rPr>
          <w:rFonts w:eastAsia="Times New Roman"/>
          <w:bCs/>
          <w:kern w:val="18"/>
          <w:sz w:val="20"/>
          <w:szCs w:val="20"/>
          <w:lang w:eastAsia="es-ES"/>
        </w:rPr>
        <w:t xml:space="preserve">, P. (2004): </w:t>
      </w:r>
      <w:r w:rsidRPr="004B1E4E">
        <w:rPr>
          <w:rFonts w:eastAsia="Times New Roman"/>
          <w:bCs/>
          <w:i/>
          <w:kern w:val="18"/>
          <w:sz w:val="20"/>
          <w:szCs w:val="20"/>
          <w:lang w:eastAsia="es-ES"/>
        </w:rPr>
        <w:t>Vulnerabilidad del Distrito Metropolitano de Quito</w:t>
      </w:r>
      <w:r>
        <w:rPr>
          <w:rStyle w:val="st1"/>
          <w:color w:val="000000"/>
          <w:sz w:val="20"/>
          <w:szCs w:val="20"/>
          <w:lang w:val="ca-ES"/>
        </w:rPr>
        <w:t>.</w:t>
      </w:r>
      <w:r w:rsidRPr="004B1E4E">
        <w:rPr>
          <w:rFonts w:eastAsia="Times New Roman"/>
          <w:bCs/>
          <w:kern w:val="18"/>
          <w:sz w:val="20"/>
          <w:szCs w:val="20"/>
          <w:lang w:eastAsia="es-ES"/>
        </w:rPr>
        <w:t xml:space="preserve"> </w:t>
      </w:r>
      <w:r w:rsidRPr="00C37732">
        <w:rPr>
          <w:rFonts w:eastAsia="Times New Roman"/>
          <w:bCs/>
          <w:kern w:val="18"/>
          <w:sz w:val="20"/>
          <w:szCs w:val="20"/>
          <w:lang w:val="en-US" w:eastAsia="es-ES"/>
        </w:rPr>
        <w:t xml:space="preserve">Chile, </w:t>
      </w:r>
      <w:r w:rsidRPr="00D81E9A">
        <w:rPr>
          <w:rFonts w:eastAsia="Times New Roman"/>
          <w:bCs/>
          <w:kern w:val="18"/>
          <w:sz w:val="20"/>
          <w:szCs w:val="20"/>
          <w:lang w:val="en-US" w:eastAsia="es-ES"/>
        </w:rPr>
        <w:t>AH/Editorial.</w:t>
      </w:r>
    </w:p>
    <w:p w14:paraId="2AE1E7A5" w14:textId="77777777" w:rsidR="00C37732" w:rsidRDefault="00C37732" w:rsidP="00C37732">
      <w:pPr>
        <w:spacing w:line="480" w:lineRule="auto"/>
        <w:ind w:left="720" w:hanging="720"/>
        <w:contextualSpacing/>
        <w:jc w:val="both"/>
        <w:rPr>
          <w:rFonts w:eastAsia="Times New Roman"/>
          <w:bCs/>
          <w:kern w:val="18"/>
          <w:sz w:val="20"/>
          <w:szCs w:val="20"/>
          <w:lang w:val="es-ES_tradnl" w:eastAsia="es-ES"/>
        </w:rPr>
      </w:pPr>
      <w:r w:rsidRPr="004B1E4E">
        <w:rPr>
          <w:rFonts w:eastAsia="Times New Roman"/>
          <w:bCs/>
          <w:kern w:val="18"/>
          <w:sz w:val="20"/>
          <w:szCs w:val="20"/>
          <w:lang w:val="en-GB" w:eastAsia="es-ES"/>
        </w:rPr>
        <w:t xml:space="preserve">Dwyer, A., </w:t>
      </w:r>
      <w:proofErr w:type="spellStart"/>
      <w:r w:rsidRPr="004B1E4E">
        <w:rPr>
          <w:rFonts w:eastAsia="Times New Roman"/>
          <w:bCs/>
          <w:kern w:val="18"/>
          <w:sz w:val="20"/>
          <w:szCs w:val="20"/>
          <w:lang w:val="en-GB" w:eastAsia="es-ES"/>
        </w:rPr>
        <w:t>Zoppou</w:t>
      </w:r>
      <w:proofErr w:type="spellEnd"/>
      <w:r w:rsidRPr="004B1E4E">
        <w:rPr>
          <w:rFonts w:eastAsia="Times New Roman"/>
          <w:bCs/>
          <w:kern w:val="18"/>
          <w:sz w:val="20"/>
          <w:szCs w:val="20"/>
          <w:lang w:val="en-GB" w:eastAsia="es-ES"/>
        </w:rPr>
        <w:t xml:space="preserve">, C., Nielsen, O., Day, S. </w:t>
      </w:r>
      <w:r>
        <w:rPr>
          <w:rFonts w:eastAsia="Times New Roman"/>
          <w:bCs/>
          <w:kern w:val="18"/>
          <w:sz w:val="20"/>
          <w:szCs w:val="20"/>
          <w:lang w:val="en-GB" w:eastAsia="es-ES"/>
        </w:rPr>
        <w:t>y</w:t>
      </w:r>
      <w:r w:rsidRPr="004B1E4E">
        <w:rPr>
          <w:rFonts w:eastAsia="Times New Roman"/>
          <w:bCs/>
          <w:kern w:val="18"/>
          <w:sz w:val="20"/>
          <w:szCs w:val="20"/>
          <w:lang w:val="en-GB" w:eastAsia="es-ES"/>
        </w:rPr>
        <w:t xml:space="preserve"> Roberts, S. (2004): </w:t>
      </w:r>
      <w:r w:rsidRPr="004B1E4E">
        <w:rPr>
          <w:rFonts w:eastAsia="Times New Roman"/>
          <w:bCs/>
          <w:i/>
          <w:kern w:val="18"/>
          <w:sz w:val="20"/>
          <w:szCs w:val="20"/>
          <w:lang w:val="en-GB" w:eastAsia="es-ES"/>
        </w:rPr>
        <w:t>Quantifying social vulnerability: a methodology for identifying those at risk to natural hazards</w:t>
      </w:r>
      <w:r w:rsidRPr="004B1E4E">
        <w:rPr>
          <w:rFonts w:eastAsia="Times New Roman"/>
          <w:bCs/>
          <w:kern w:val="18"/>
          <w:sz w:val="20"/>
          <w:szCs w:val="20"/>
          <w:lang w:val="en-GB" w:eastAsia="es-ES"/>
        </w:rPr>
        <w:t>.</w:t>
      </w:r>
      <w:r>
        <w:rPr>
          <w:rFonts w:eastAsia="Times New Roman"/>
          <w:bCs/>
          <w:kern w:val="18"/>
          <w:sz w:val="20"/>
          <w:szCs w:val="20"/>
          <w:lang w:val="en-GB" w:eastAsia="es-ES"/>
        </w:rPr>
        <w:t xml:space="preserve"> </w:t>
      </w:r>
      <w:proofErr w:type="gramStart"/>
      <w:r w:rsidRPr="00304F3B">
        <w:rPr>
          <w:rFonts w:eastAsia="Times New Roman"/>
          <w:bCs/>
          <w:kern w:val="18"/>
          <w:sz w:val="20"/>
          <w:szCs w:val="20"/>
          <w:lang w:val="es-ES_tradnl" w:eastAsia="es-ES"/>
        </w:rPr>
        <w:t xml:space="preserve">Australia,  </w:t>
      </w:r>
      <w:proofErr w:type="spellStart"/>
      <w:r w:rsidRPr="004B1E4E">
        <w:rPr>
          <w:rFonts w:eastAsia="Times New Roman"/>
          <w:bCs/>
          <w:kern w:val="18"/>
          <w:sz w:val="20"/>
          <w:szCs w:val="20"/>
          <w:lang w:val="es-ES_tradnl" w:eastAsia="es-ES"/>
        </w:rPr>
        <w:t>Australian</w:t>
      </w:r>
      <w:proofErr w:type="spellEnd"/>
      <w:proofErr w:type="gramEnd"/>
      <w:r w:rsidRPr="004B1E4E">
        <w:rPr>
          <w:rFonts w:eastAsia="Times New Roman"/>
          <w:bCs/>
          <w:kern w:val="18"/>
          <w:sz w:val="20"/>
          <w:szCs w:val="20"/>
          <w:lang w:val="es-ES_tradnl" w:eastAsia="es-ES"/>
        </w:rPr>
        <w:t xml:space="preserve"> </w:t>
      </w:r>
      <w:proofErr w:type="spellStart"/>
      <w:r w:rsidRPr="004B1E4E">
        <w:rPr>
          <w:rFonts w:eastAsia="Times New Roman"/>
          <w:bCs/>
          <w:kern w:val="18"/>
          <w:sz w:val="20"/>
          <w:szCs w:val="20"/>
          <w:lang w:val="es-ES_tradnl" w:eastAsia="es-ES"/>
        </w:rPr>
        <w:t>Government</w:t>
      </w:r>
      <w:proofErr w:type="spellEnd"/>
      <w:r>
        <w:rPr>
          <w:rFonts w:eastAsia="Times New Roman"/>
          <w:bCs/>
          <w:kern w:val="18"/>
          <w:sz w:val="20"/>
          <w:szCs w:val="20"/>
          <w:lang w:val="es-ES_tradnl" w:eastAsia="es-ES"/>
        </w:rPr>
        <w:t>.</w:t>
      </w:r>
    </w:p>
    <w:p w14:paraId="37807710" w14:textId="2F513610" w:rsidR="00C37732" w:rsidRPr="00A151A8" w:rsidRDefault="00A151A8" w:rsidP="00C37732">
      <w:pPr>
        <w:spacing w:line="480" w:lineRule="auto"/>
        <w:ind w:left="720" w:hanging="720"/>
        <w:contextualSpacing/>
        <w:jc w:val="both"/>
        <w:rPr>
          <w:rFonts w:eastAsia="Times New Roman"/>
          <w:b/>
          <w:bCs/>
          <w:kern w:val="18"/>
          <w:sz w:val="20"/>
          <w:szCs w:val="20"/>
          <w:lang w:eastAsia="es-ES"/>
        </w:rPr>
      </w:pPr>
      <w:r w:rsidRPr="00A151A8">
        <w:rPr>
          <w:rFonts w:eastAsia="Times New Roman"/>
          <w:b/>
          <w:bCs/>
          <w:kern w:val="18"/>
          <w:sz w:val="20"/>
          <w:szCs w:val="20"/>
          <w:highlight w:val="yellow"/>
          <w:lang w:eastAsia="es-ES"/>
        </w:rPr>
        <w:t>CITA AUTOR 1</w:t>
      </w:r>
    </w:p>
    <w:p w14:paraId="56647DA6" w14:textId="77777777" w:rsidR="00C37732" w:rsidRDefault="00C37732" w:rsidP="00C37732">
      <w:pPr>
        <w:spacing w:line="480" w:lineRule="auto"/>
        <w:ind w:left="720" w:hanging="720"/>
        <w:contextualSpacing/>
        <w:jc w:val="both"/>
        <w:rPr>
          <w:rFonts w:eastAsia="Times New Roman"/>
          <w:bCs/>
          <w:kern w:val="18"/>
          <w:sz w:val="20"/>
          <w:szCs w:val="20"/>
          <w:lang w:val="en-GB" w:eastAsia="es-ES"/>
        </w:rPr>
      </w:pPr>
      <w:proofErr w:type="spellStart"/>
      <w:r w:rsidRPr="004A28F9">
        <w:rPr>
          <w:rFonts w:eastAsia="Times New Roman"/>
          <w:bCs/>
          <w:kern w:val="18"/>
          <w:sz w:val="20"/>
          <w:szCs w:val="20"/>
          <w:lang w:val="en-US" w:eastAsia="es-ES"/>
        </w:rPr>
        <w:t>Füssel</w:t>
      </w:r>
      <w:proofErr w:type="spellEnd"/>
      <w:r w:rsidRPr="004A28F9">
        <w:rPr>
          <w:rFonts w:eastAsia="Times New Roman"/>
          <w:bCs/>
          <w:kern w:val="18"/>
          <w:sz w:val="20"/>
          <w:szCs w:val="20"/>
          <w:lang w:val="en-US" w:eastAsia="es-ES"/>
        </w:rPr>
        <w:t xml:space="preserve">, H.-M. &amp; Klein, R.J.T. (2006): Climate change vulnerability assessments: an evolution of conceptual </w:t>
      </w:r>
      <w:proofErr w:type="spellStart"/>
      <w:r w:rsidRPr="004A28F9">
        <w:rPr>
          <w:rFonts w:eastAsia="Times New Roman"/>
          <w:bCs/>
          <w:kern w:val="18"/>
          <w:sz w:val="20"/>
          <w:szCs w:val="20"/>
          <w:lang w:val="en-US" w:eastAsia="es-ES"/>
        </w:rPr>
        <w:t>thi</w:t>
      </w:r>
      <w:r w:rsidRPr="004B1E4E">
        <w:rPr>
          <w:rFonts w:eastAsia="Times New Roman"/>
          <w:bCs/>
          <w:kern w:val="18"/>
          <w:sz w:val="20"/>
          <w:szCs w:val="20"/>
          <w:lang w:val="en-GB" w:eastAsia="es-ES"/>
        </w:rPr>
        <w:t>nking</w:t>
      </w:r>
      <w:proofErr w:type="spellEnd"/>
      <w:r w:rsidRPr="004B1E4E">
        <w:rPr>
          <w:rFonts w:eastAsia="Times New Roman"/>
          <w:bCs/>
          <w:kern w:val="18"/>
          <w:sz w:val="20"/>
          <w:szCs w:val="20"/>
          <w:lang w:val="en-GB" w:eastAsia="es-ES"/>
        </w:rPr>
        <w:t xml:space="preserve">. </w:t>
      </w:r>
      <w:r w:rsidRPr="004B1E4E">
        <w:rPr>
          <w:rFonts w:eastAsia="Times New Roman"/>
          <w:bCs/>
          <w:i/>
          <w:kern w:val="18"/>
          <w:sz w:val="20"/>
          <w:szCs w:val="20"/>
          <w:lang w:val="en-GB" w:eastAsia="es-ES"/>
        </w:rPr>
        <w:t>Climatic Change</w:t>
      </w:r>
      <w:r w:rsidRPr="004B1E4E">
        <w:rPr>
          <w:rFonts w:eastAsia="Times New Roman"/>
          <w:bCs/>
          <w:kern w:val="18"/>
          <w:sz w:val="20"/>
          <w:szCs w:val="20"/>
          <w:lang w:val="en-GB" w:eastAsia="es-ES"/>
        </w:rPr>
        <w:t>, 75, 301-329.</w:t>
      </w:r>
    </w:p>
    <w:p w14:paraId="6835252A" w14:textId="77777777" w:rsidR="00C37732" w:rsidRPr="00B512BA" w:rsidRDefault="00C37732" w:rsidP="00C37732">
      <w:pPr>
        <w:spacing w:line="480" w:lineRule="auto"/>
        <w:ind w:left="720" w:hanging="720"/>
        <w:contextualSpacing/>
        <w:jc w:val="both"/>
        <w:rPr>
          <w:rFonts w:eastAsia="Times New Roman"/>
          <w:bCs/>
          <w:kern w:val="18"/>
          <w:sz w:val="20"/>
          <w:szCs w:val="20"/>
          <w:lang w:val="en-GB" w:eastAsia="es-ES"/>
        </w:rPr>
      </w:pPr>
      <w:r w:rsidRPr="00B512BA">
        <w:rPr>
          <w:rFonts w:eastAsia="Times New Roman"/>
          <w:bCs/>
          <w:kern w:val="18"/>
          <w:sz w:val="20"/>
          <w:szCs w:val="20"/>
          <w:lang w:val="en-GB" w:eastAsia="es-ES"/>
        </w:rPr>
        <w:t>IPCC, 2014: Climate Change 2014: Impacts, Adaptation, and Vulnerability. Part A:</w:t>
      </w:r>
      <w:r>
        <w:rPr>
          <w:rFonts w:eastAsia="Times New Roman"/>
          <w:bCs/>
          <w:kern w:val="18"/>
          <w:sz w:val="20"/>
          <w:szCs w:val="20"/>
          <w:lang w:val="en-GB" w:eastAsia="es-ES"/>
        </w:rPr>
        <w:t xml:space="preserve"> </w:t>
      </w:r>
      <w:r w:rsidRPr="00B512BA">
        <w:rPr>
          <w:rFonts w:eastAsia="Times New Roman"/>
          <w:bCs/>
          <w:kern w:val="18"/>
          <w:sz w:val="20"/>
          <w:szCs w:val="20"/>
          <w:lang w:val="en-GB" w:eastAsia="es-ES"/>
        </w:rPr>
        <w:t>Global and Sectoral Aspects. Contribution of Working Group II to the Fifth</w:t>
      </w:r>
      <w:r>
        <w:rPr>
          <w:rFonts w:eastAsia="Times New Roman"/>
          <w:bCs/>
          <w:kern w:val="18"/>
          <w:sz w:val="20"/>
          <w:szCs w:val="20"/>
          <w:lang w:val="en-GB" w:eastAsia="es-ES"/>
        </w:rPr>
        <w:t xml:space="preserve"> </w:t>
      </w:r>
      <w:r w:rsidRPr="00B512BA">
        <w:rPr>
          <w:rFonts w:eastAsia="Times New Roman"/>
          <w:bCs/>
          <w:kern w:val="18"/>
          <w:sz w:val="20"/>
          <w:szCs w:val="20"/>
          <w:lang w:val="en-GB" w:eastAsia="es-ES"/>
        </w:rPr>
        <w:t>Assessment Report of the Intergovernmental Panel on Climate Change</w:t>
      </w:r>
      <w:r>
        <w:rPr>
          <w:rFonts w:eastAsia="Times New Roman"/>
          <w:bCs/>
          <w:kern w:val="18"/>
          <w:sz w:val="20"/>
          <w:szCs w:val="20"/>
          <w:lang w:val="en-GB" w:eastAsia="es-ES"/>
        </w:rPr>
        <w:t xml:space="preserve"> </w:t>
      </w:r>
      <w:r w:rsidRPr="00B512BA">
        <w:rPr>
          <w:rFonts w:eastAsia="Times New Roman"/>
          <w:bCs/>
          <w:kern w:val="18"/>
          <w:sz w:val="20"/>
          <w:szCs w:val="20"/>
          <w:lang w:val="en-GB" w:eastAsia="es-ES"/>
        </w:rPr>
        <w:t xml:space="preserve">[Field, C.B., V.R. Barros, D.J. </w:t>
      </w:r>
      <w:proofErr w:type="spellStart"/>
      <w:r w:rsidRPr="00B512BA">
        <w:rPr>
          <w:rFonts w:eastAsia="Times New Roman"/>
          <w:bCs/>
          <w:kern w:val="18"/>
          <w:sz w:val="20"/>
          <w:szCs w:val="20"/>
          <w:lang w:val="en-GB" w:eastAsia="es-ES"/>
        </w:rPr>
        <w:t>Dokken</w:t>
      </w:r>
      <w:proofErr w:type="spellEnd"/>
      <w:r w:rsidRPr="00B512BA">
        <w:rPr>
          <w:rFonts w:eastAsia="Times New Roman"/>
          <w:bCs/>
          <w:kern w:val="18"/>
          <w:sz w:val="20"/>
          <w:szCs w:val="20"/>
          <w:lang w:val="en-GB" w:eastAsia="es-ES"/>
        </w:rPr>
        <w:t xml:space="preserve">, K.J. Mach, </w:t>
      </w:r>
      <w:r w:rsidRPr="00B512BA">
        <w:rPr>
          <w:rFonts w:eastAsia="Times New Roman"/>
          <w:bCs/>
          <w:kern w:val="18"/>
          <w:sz w:val="20"/>
          <w:szCs w:val="20"/>
          <w:lang w:val="en-GB" w:eastAsia="es-ES"/>
        </w:rPr>
        <w:lastRenderedPageBreak/>
        <w:t xml:space="preserve">M.D. </w:t>
      </w:r>
      <w:proofErr w:type="spellStart"/>
      <w:r w:rsidRPr="00B512BA">
        <w:rPr>
          <w:rFonts w:eastAsia="Times New Roman"/>
          <w:bCs/>
          <w:kern w:val="18"/>
          <w:sz w:val="20"/>
          <w:szCs w:val="20"/>
          <w:lang w:val="en-GB" w:eastAsia="es-ES"/>
        </w:rPr>
        <w:t>Mastrandrea</w:t>
      </w:r>
      <w:proofErr w:type="spellEnd"/>
      <w:r w:rsidRPr="00B512BA">
        <w:rPr>
          <w:rFonts w:eastAsia="Times New Roman"/>
          <w:bCs/>
          <w:kern w:val="18"/>
          <w:sz w:val="20"/>
          <w:szCs w:val="20"/>
          <w:lang w:val="en-GB" w:eastAsia="es-ES"/>
        </w:rPr>
        <w:t xml:space="preserve">, T.E. </w:t>
      </w:r>
      <w:proofErr w:type="spellStart"/>
      <w:r w:rsidRPr="00B512BA">
        <w:rPr>
          <w:rFonts w:eastAsia="Times New Roman"/>
          <w:bCs/>
          <w:kern w:val="18"/>
          <w:sz w:val="20"/>
          <w:szCs w:val="20"/>
          <w:lang w:val="en-GB" w:eastAsia="es-ES"/>
        </w:rPr>
        <w:t>Bilir</w:t>
      </w:r>
      <w:proofErr w:type="spellEnd"/>
      <w:r w:rsidRPr="00B512BA">
        <w:rPr>
          <w:rFonts w:eastAsia="Times New Roman"/>
          <w:bCs/>
          <w:kern w:val="18"/>
          <w:sz w:val="20"/>
          <w:szCs w:val="20"/>
          <w:lang w:val="en-GB" w:eastAsia="es-ES"/>
        </w:rPr>
        <w:t>,</w:t>
      </w:r>
      <w:r>
        <w:rPr>
          <w:rFonts w:eastAsia="Times New Roman"/>
          <w:bCs/>
          <w:kern w:val="18"/>
          <w:sz w:val="20"/>
          <w:szCs w:val="20"/>
          <w:lang w:val="en-GB" w:eastAsia="es-ES"/>
        </w:rPr>
        <w:t xml:space="preserve"> </w:t>
      </w:r>
      <w:r w:rsidRPr="00B512BA">
        <w:rPr>
          <w:rFonts w:eastAsia="Times New Roman"/>
          <w:bCs/>
          <w:kern w:val="18"/>
          <w:sz w:val="20"/>
          <w:szCs w:val="20"/>
          <w:lang w:val="en-GB" w:eastAsia="es-ES"/>
        </w:rPr>
        <w:t xml:space="preserve">M. Chatterjee, K.L. </w:t>
      </w:r>
      <w:proofErr w:type="spellStart"/>
      <w:r w:rsidRPr="00B512BA">
        <w:rPr>
          <w:rFonts w:eastAsia="Times New Roman"/>
          <w:bCs/>
          <w:kern w:val="18"/>
          <w:sz w:val="20"/>
          <w:szCs w:val="20"/>
          <w:lang w:val="en-GB" w:eastAsia="es-ES"/>
        </w:rPr>
        <w:t>Ebi</w:t>
      </w:r>
      <w:proofErr w:type="spellEnd"/>
      <w:r w:rsidRPr="00B512BA">
        <w:rPr>
          <w:rFonts w:eastAsia="Times New Roman"/>
          <w:bCs/>
          <w:kern w:val="18"/>
          <w:sz w:val="20"/>
          <w:szCs w:val="20"/>
          <w:lang w:val="en-GB" w:eastAsia="es-ES"/>
        </w:rPr>
        <w:t xml:space="preserve">, Y.O. Estrada, R.C. Genova, B. </w:t>
      </w:r>
      <w:proofErr w:type="spellStart"/>
      <w:r w:rsidRPr="00B512BA">
        <w:rPr>
          <w:rFonts w:eastAsia="Times New Roman"/>
          <w:bCs/>
          <w:kern w:val="18"/>
          <w:sz w:val="20"/>
          <w:szCs w:val="20"/>
          <w:lang w:val="en-GB" w:eastAsia="es-ES"/>
        </w:rPr>
        <w:t>Girma</w:t>
      </w:r>
      <w:proofErr w:type="spellEnd"/>
      <w:r w:rsidRPr="00B512BA">
        <w:rPr>
          <w:rFonts w:eastAsia="Times New Roman"/>
          <w:bCs/>
          <w:kern w:val="18"/>
          <w:sz w:val="20"/>
          <w:szCs w:val="20"/>
          <w:lang w:val="en-GB" w:eastAsia="es-ES"/>
        </w:rPr>
        <w:t xml:space="preserve">, E.S. </w:t>
      </w:r>
      <w:proofErr w:type="spellStart"/>
      <w:r w:rsidRPr="00B512BA">
        <w:rPr>
          <w:rFonts w:eastAsia="Times New Roman"/>
          <w:bCs/>
          <w:kern w:val="18"/>
          <w:sz w:val="20"/>
          <w:szCs w:val="20"/>
          <w:lang w:val="en-GB" w:eastAsia="es-ES"/>
        </w:rPr>
        <w:t>Kissel</w:t>
      </w:r>
      <w:proofErr w:type="spellEnd"/>
      <w:r w:rsidRPr="00B512BA">
        <w:rPr>
          <w:rFonts w:eastAsia="Times New Roman"/>
          <w:bCs/>
          <w:kern w:val="18"/>
          <w:sz w:val="20"/>
          <w:szCs w:val="20"/>
          <w:lang w:val="en-GB" w:eastAsia="es-ES"/>
        </w:rPr>
        <w:t>, A.N. Levy,</w:t>
      </w:r>
      <w:r>
        <w:rPr>
          <w:rFonts w:eastAsia="Times New Roman"/>
          <w:bCs/>
          <w:kern w:val="18"/>
          <w:sz w:val="20"/>
          <w:szCs w:val="20"/>
          <w:lang w:val="en-GB" w:eastAsia="es-ES"/>
        </w:rPr>
        <w:t xml:space="preserve"> </w:t>
      </w:r>
      <w:r w:rsidRPr="00B512BA">
        <w:rPr>
          <w:rFonts w:eastAsia="Times New Roman"/>
          <w:bCs/>
          <w:kern w:val="18"/>
          <w:sz w:val="20"/>
          <w:szCs w:val="20"/>
          <w:lang w:val="en-GB" w:eastAsia="es-ES"/>
        </w:rPr>
        <w:t xml:space="preserve">S. MacCracken, P.R. </w:t>
      </w:r>
      <w:proofErr w:type="spellStart"/>
      <w:r w:rsidRPr="00B512BA">
        <w:rPr>
          <w:rFonts w:eastAsia="Times New Roman"/>
          <w:bCs/>
          <w:kern w:val="18"/>
          <w:sz w:val="20"/>
          <w:szCs w:val="20"/>
          <w:lang w:val="en-GB" w:eastAsia="es-ES"/>
        </w:rPr>
        <w:t>Mastrandrea</w:t>
      </w:r>
      <w:proofErr w:type="spellEnd"/>
      <w:r w:rsidRPr="00B512BA">
        <w:rPr>
          <w:rFonts w:eastAsia="Times New Roman"/>
          <w:bCs/>
          <w:kern w:val="18"/>
          <w:sz w:val="20"/>
          <w:szCs w:val="20"/>
          <w:lang w:val="en-GB" w:eastAsia="es-ES"/>
        </w:rPr>
        <w:t xml:space="preserve">, and </w:t>
      </w:r>
      <w:proofErr w:type="spellStart"/>
      <w:r w:rsidRPr="00B512BA">
        <w:rPr>
          <w:rFonts w:eastAsia="Times New Roman"/>
          <w:bCs/>
          <w:kern w:val="18"/>
          <w:sz w:val="20"/>
          <w:szCs w:val="20"/>
          <w:lang w:val="en-GB" w:eastAsia="es-ES"/>
        </w:rPr>
        <w:t>L.</w:t>
      </w:r>
      <w:proofErr w:type="gramStart"/>
      <w:r w:rsidRPr="00B512BA">
        <w:rPr>
          <w:rFonts w:eastAsia="Times New Roman"/>
          <w:bCs/>
          <w:kern w:val="18"/>
          <w:sz w:val="20"/>
          <w:szCs w:val="20"/>
          <w:lang w:val="en-GB" w:eastAsia="es-ES"/>
        </w:rPr>
        <w:t>L.White</w:t>
      </w:r>
      <w:proofErr w:type="spellEnd"/>
      <w:proofErr w:type="gramEnd"/>
      <w:r w:rsidRPr="00B512BA">
        <w:rPr>
          <w:rFonts w:eastAsia="Times New Roman"/>
          <w:bCs/>
          <w:kern w:val="18"/>
          <w:sz w:val="20"/>
          <w:szCs w:val="20"/>
          <w:lang w:val="en-GB" w:eastAsia="es-ES"/>
        </w:rPr>
        <w:t xml:space="preserve"> (eds.)]. Cambridge University</w:t>
      </w:r>
      <w:r>
        <w:rPr>
          <w:rFonts w:eastAsia="Times New Roman"/>
          <w:bCs/>
          <w:kern w:val="18"/>
          <w:sz w:val="20"/>
          <w:szCs w:val="20"/>
          <w:lang w:val="en-GB" w:eastAsia="es-ES"/>
        </w:rPr>
        <w:t>.</w:t>
      </w:r>
    </w:p>
    <w:p w14:paraId="59DFB09F" w14:textId="77777777" w:rsidR="00C37732" w:rsidRPr="00304F3B" w:rsidRDefault="00C37732" w:rsidP="00C37732">
      <w:pPr>
        <w:spacing w:line="480" w:lineRule="auto"/>
        <w:ind w:left="720" w:hanging="720"/>
        <w:contextualSpacing/>
        <w:jc w:val="both"/>
        <w:rPr>
          <w:rFonts w:eastAsia="Times New Roman"/>
          <w:bCs/>
          <w:kern w:val="18"/>
          <w:sz w:val="20"/>
          <w:szCs w:val="20"/>
          <w:lang w:val="en-US" w:eastAsia="es-ES"/>
        </w:rPr>
      </w:pPr>
      <w:r w:rsidRPr="00B512BA">
        <w:rPr>
          <w:rFonts w:eastAsia="Times New Roman"/>
          <w:bCs/>
          <w:kern w:val="18"/>
          <w:sz w:val="20"/>
          <w:szCs w:val="20"/>
          <w:lang w:val="en-GB" w:eastAsia="es-ES"/>
        </w:rPr>
        <w:t xml:space="preserve">Press, Cambridge, United Kingdom and New York, NY, USA, 1132 </w:t>
      </w:r>
      <w:proofErr w:type="spellStart"/>
      <w:r w:rsidRPr="00B512BA">
        <w:rPr>
          <w:rFonts w:eastAsia="Times New Roman"/>
          <w:bCs/>
          <w:kern w:val="18"/>
          <w:sz w:val="20"/>
          <w:szCs w:val="20"/>
          <w:lang w:val="en-GB" w:eastAsia="es-ES"/>
        </w:rPr>
        <w:t>pp</w:t>
      </w:r>
      <w:r w:rsidRPr="004B1E4E">
        <w:rPr>
          <w:rFonts w:eastAsia="Times New Roman"/>
          <w:bCs/>
          <w:kern w:val="18"/>
          <w:sz w:val="20"/>
          <w:szCs w:val="20"/>
          <w:lang w:val="en-GB" w:eastAsia="es-ES"/>
        </w:rPr>
        <w:t>Jenks</w:t>
      </w:r>
      <w:proofErr w:type="spellEnd"/>
      <w:r w:rsidRPr="004B1E4E">
        <w:rPr>
          <w:rFonts w:eastAsia="Times New Roman"/>
          <w:bCs/>
          <w:kern w:val="18"/>
          <w:sz w:val="20"/>
          <w:szCs w:val="20"/>
          <w:lang w:val="en-GB" w:eastAsia="es-ES"/>
        </w:rPr>
        <w:t xml:space="preserve">, G. F. (1967). The data model concept in statistical mapping. </w:t>
      </w:r>
      <w:r w:rsidRPr="00304F3B">
        <w:rPr>
          <w:rFonts w:eastAsia="Times New Roman"/>
          <w:bCs/>
          <w:i/>
          <w:kern w:val="18"/>
          <w:sz w:val="20"/>
          <w:szCs w:val="20"/>
          <w:lang w:val="en-US" w:eastAsia="es-ES"/>
        </w:rPr>
        <w:t>International yearbook of cartography</w:t>
      </w:r>
      <w:r w:rsidRPr="00304F3B">
        <w:rPr>
          <w:rFonts w:eastAsia="Times New Roman"/>
          <w:bCs/>
          <w:kern w:val="18"/>
          <w:sz w:val="20"/>
          <w:szCs w:val="20"/>
          <w:lang w:val="en-US" w:eastAsia="es-ES"/>
        </w:rPr>
        <w:t>, 7, 186-190.</w:t>
      </w:r>
    </w:p>
    <w:p w14:paraId="7587A0F8" w14:textId="77777777" w:rsidR="00C37732" w:rsidRPr="00D81E9A" w:rsidRDefault="00C37732" w:rsidP="00C37732">
      <w:pPr>
        <w:spacing w:line="480" w:lineRule="auto"/>
        <w:ind w:left="720" w:hanging="720"/>
        <w:contextualSpacing/>
        <w:jc w:val="both"/>
        <w:rPr>
          <w:rFonts w:eastAsia="Times New Roman"/>
          <w:bCs/>
          <w:kern w:val="18"/>
          <w:sz w:val="20"/>
          <w:szCs w:val="20"/>
          <w:lang w:val="en-US" w:eastAsia="es-ES"/>
        </w:rPr>
      </w:pPr>
      <w:r w:rsidRPr="004B1E4E">
        <w:rPr>
          <w:rFonts w:eastAsia="Times New Roman"/>
          <w:bCs/>
          <w:kern w:val="18"/>
          <w:sz w:val="20"/>
          <w:szCs w:val="20"/>
          <w:lang w:eastAsia="es-ES"/>
        </w:rPr>
        <w:t xml:space="preserve">Jiménez, F., Velásquez, S. </w:t>
      </w:r>
      <w:r>
        <w:rPr>
          <w:rFonts w:eastAsia="Times New Roman"/>
          <w:bCs/>
          <w:kern w:val="18"/>
          <w:sz w:val="20"/>
          <w:szCs w:val="20"/>
          <w:lang w:eastAsia="es-ES"/>
        </w:rPr>
        <w:t>y</w:t>
      </w:r>
      <w:r w:rsidRPr="004B1E4E">
        <w:rPr>
          <w:rFonts w:eastAsia="Times New Roman"/>
          <w:bCs/>
          <w:kern w:val="18"/>
          <w:sz w:val="20"/>
          <w:szCs w:val="20"/>
          <w:lang w:eastAsia="es-ES"/>
        </w:rPr>
        <w:t xml:space="preserve"> Faustino, J. (2004): Análisis integral de la vulnerabilidad a amenazas naturales en cuencas hidrográficas de América Central. </w:t>
      </w:r>
      <w:r w:rsidRPr="00D81E9A">
        <w:rPr>
          <w:rFonts w:eastAsia="Times New Roman"/>
          <w:bCs/>
          <w:i/>
          <w:kern w:val="18"/>
          <w:sz w:val="20"/>
          <w:szCs w:val="20"/>
          <w:lang w:val="en-US" w:eastAsia="es-ES"/>
        </w:rPr>
        <w:t xml:space="preserve">VI </w:t>
      </w:r>
      <w:proofErr w:type="spellStart"/>
      <w:r w:rsidRPr="00D81E9A">
        <w:rPr>
          <w:rFonts w:eastAsia="Times New Roman"/>
          <w:bCs/>
          <w:i/>
          <w:kern w:val="18"/>
          <w:sz w:val="20"/>
          <w:szCs w:val="20"/>
          <w:lang w:val="en-US" w:eastAsia="es-ES"/>
        </w:rPr>
        <w:t>Semana</w:t>
      </w:r>
      <w:proofErr w:type="spellEnd"/>
      <w:r w:rsidRPr="00D81E9A">
        <w:rPr>
          <w:rFonts w:eastAsia="Times New Roman"/>
          <w:bCs/>
          <w:i/>
          <w:kern w:val="18"/>
          <w:sz w:val="20"/>
          <w:szCs w:val="20"/>
          <w:lang w:val="en-US" w:eastAsia="es-ES"/>
        </w:rPr>
        <w:t xml:space="preserve"> </w:t>
      </w:r>
      <w:proofErr w:type="spellStart"/>
      <w:r w:rsidRPr="00D81E9A">
        <w:rPr>
          <w:rFonts w:eastAsia="Times New Roman"/>
          <w:bCs/>
          <w:i/>
          <w:kern w:val="18"/>
          <w:sz w:val="20"/>
          <w:szCs w:val="20"/>
          <w:lang w:val="en-US" w:eastAsia="es-ES"/>
        </w:rPr>
        <w:t>Científica</w:t>
      </w:r>
      <w:proofErr w:type="spellEnd"/>
      <w:r w:rsidRPr="00D81E9A">
        <w:rPr>
          <w:rFonts w:eastAsia="Times New Roman"/>
          <w:bCs/>
          <w:i/>
          <w:kern w:val="18"/>
          <w:sz w:val="20"/>
          <w:szCs w:val="20"/>
          <w:lang w:val="en-US" w:eastAsia="es-ES"/>
        </w:rPr>
        <w:t xml:space="preserve"> (</w:t>
      </w:r>
      <w:proofErr w:type="spellStart"/>
      <w:r w:rsidRPr="00D81E9A">
        <w:rPr>
          <w:rFonts w:eastAsia="Times New Roman"/>
          <w:bCs/>
          <w:i/>
          <w:kern w:val="18"/>
          <w:sz w:val="20"/>
          <w:szCs w:val="20"/>
          <w:lang w:val="en-US" w:eastAsia="es-ES"/>
        </w:rPr>
        <w:t>Resúmenes</w:t>
      </w:r>
      <w:proofErr w:type="spellEnd"/>
      <w:r w:rsidRPr="00D81E9A">
        <w:rPr>
          <w:rFonts w:eastAsia="Times New Roman"/>
          <w:bCs/>
          <w:i/>
          <w:kern w:val="18"/>
          <w:sz w:val="20"/>
          <w:szCs w:val="20"/>
          <w:lang w:val="en-US" w:eastAsia="es-ES"/>
        </w:rPr>
        <w:t>)</w:t>
      </w:r>
      <w:r w:rsidRPr="00D81E9A">
        <w:rPr>
          <w:rFonts w:eastAsia="Times New Roman"/>
          <w:bCs/>
          <w:kern w:val="18"/>
          <w:sz w:val="20"/>
          <w:szCs w:val="20"/>
          <w:lang w:val="en-US" w:eastAsia="es-ES"/>
        </w:rPr>
        <w:t>. Turrialba, CR, CATIE, 50-53.</w:t>
      </w:r>
    </w:p>
    <w:p w14:paraId="6F3748CC" w14:textId="77777777" w:rsidR="00C37732" w:rsidRPr="00304F3B" w:rsidRDefault="00C37732" w:rsidP="00C37732">
      <w:pPr>
        <w:suppressAutoHyphens/>
        <w:autoSpaceDE w:val="0"/>
        <w:spacing w:line="480" w:lineRule="auto"/>
        <w:ind w:left="720" w:hanging="720"/>
        <w:jc w:val="both"/>
        <w:rPr>
          <w:sz w:val="20"/>
          <w:szCs w:val="20"/>
          <w:lang w:val="en-US" w:eastAsia="zh-CN"/>
        </w:rPr>
      </w:pPr>
      <w:proofErr w:type="spellStart"/>
      <w:r w:rsidRPr="004B1E4E">
        <w:rPr>
          <w:sz w:val="20"/>
          <w:szCs w:val="20"/>
          <w:lang w:val="en-GB" w:eastAsia="zh-CN"/>
        </w:rPr>
        <w:t>Kereszturi</w:t>
      </w:r>
      <w:proofErr w:type="spellEnd"/>
      <w:r w:rsidRPr="004B1E4E">
        <w:rPr>
          <w:sz w:val="20"/>
          <w:szCs w:val="20"/>
          <w:lang w:val="en-GB" w:eastAsia="zh-CN"/>
        </w:rPr>
        <w:t xml:space="preserve">, G., Geyer, A., </w:t>
      </w:r>
      <w:proofErr w:type="spellStart"/>
      <w:r w:rsidRPr="004B1E4E">
        <w:rPr>
          <w:sz w:val="20"/>
          <w:szCs w:val="20"/>
          <w:lang w:val="en-GB" w:eastAsia="zh-CN"/>
        </w:rPr>
        <w:t>Martí</w:t>
      </w:r>
      <w:proofErr w:type="spellEnd"/>
      <w:r w:rsidRPr="004B1E4E">
        <w:rPr>
          <w:sz w:val="20"/>
          <w:szCs w:val="20"/>
          <w:lang w:val="en-GB" w:eastAsia="zh-CN"/>
        </w:rPr>
        <w:t xml:space="preserve">, J., </w:t>
      </w:r>
      <w:proofErr w:type="spellStart"/>
      <w:r w:rsidRPr="004B1E4E">
        <w:rPr>
          <w:sz w:val="20"/>
          <w:szCs w:val="20"/>
          <w:lang w:val="en-GB" w:eastAsia="zh-CN"/>
        </w:rPr>
        <w:t>Németh</w:t>
      </w:r>
      <w:proofErr w:type="spellEnd"/>
      <w:r w:rsidRPr="004B1E4E">
        <w:rPr>
          <w:sz w:val="20"/>
          <w:szCs w:val="20"/>
          <w:lang w:val="en-GB" w:eastAsia="zh-CN"/>
        </w:rPr>
        <w:t>, K. &amp;</w:t>
      </w:r>
      <w:proofErr w:type="spellStart"/>
      <w:r w:rsidRPr="004B1E4E">
        <w:rPr>
          <w:sz w:val="20"/>
          <w:szCs w:val="20"/>
          <w:lang w:val="en-GB" w:eastAsia="zh-CN"/>
        </w:rPr>
        <w:t>Dóniz-Páez</w:t>
      </w:r>
      <w:proofErr w:type="spellEnd"/>
      <w:r w:rsidRPr="004B1E4E">
        <w:rPr>
          <w:sz w:val="20"/>
          <w:szCs w:val="20"/>
          <w:lang w:val="en-GB" w:eastAsia="zh-CN"/>
        </w:rPr>
        <w:t xml:space="preserve">, J. (2013): Evaluation of morphometry-based dating of monogenetic volcanoes — a case study from </w:t>
      </w:r>
      <w:proofErr w:type="spellStart"/>
      <w:r w:rsidRPr="004B1E4E">
        <w:rPr>
          <w:sz w:val="20"/>
          <w:szCs w:val="20"/>
          <w:lang w:val="en-GB" w:eastAsia="zh-CN"/>
        </w:rPr>
        <w:t>Bandas</w:t>
      </w:r>
      <w:proofErr w:type="spellEnd"/>
      <w:r w:rsidRPr="004B1E4E">
        <w:rPr>
          <w:sz w:val="20"/>
          <w:szCs w:val="20"/>
          <w:lang w:val="en-GB" w:eastAsia="zh-CN"/>
        </w:rPr>
        <w:t xml:space="preserve"> del Sur, Tenerife (Canary Islands). </w:t>
      </w:r>
      <w:r w:rsidRPr="00304F3B">
        <w:rPr>
          <w:i/>
          <w:sz w:val="20"/>
          <w:szCs w:val="20"/>
          <w:lang w:val="en-US" w:eastAsia="zh-CN"/>
        </w:rPr>
        <w:t>Bulletin of Volcanology</w:t>
      </w:r>
      <w:r w:rsidRPr="00304F3B">
        <w:rPr>
          <w:sz w:val="20"/>
          <w:szCs w:val="20"/>
          <w:lang w:val="en-US" w:eastAsia="zh-CN"/>
        </w:rPr>
        <w:t xml:space="preserve">, 75-734: 1-19. </w:t>
      </w:r>
    </w:p>
    <w:p w14:paraId="36F099F2" w14:textId="09CC379F" w:rsidR="00C37732" w:rsidRPr="00A151A8" w:rsidRDefault="00A151A8" w:rsidP="00C37732">
      <w:pPr>
        <w:suppressAutoHyphens/>
        <w:autoSpaceDE w:val="0"/>
        <w:spacing w:line="480" w:lineRule="auto"/>
        <w:ind w:left="720" w:hanging="720"/>
        <w:jc w:val="both"/>
        <w:rPr>
          <w:b/>
          <w:sz w:val="20"/>
          <w:szCs w:val="20"/>
          <w:lang w:eastAsia="zh-CN"/>
        </w:rPr>
      </w:pPr>
      <w:r w:rsidRPr="00A151A8">
        <w:rPr>
          <w:b/>
          <w:sz w:val="20"/>
          <w:szCs w:val="20"/>
          <w:highlight w:val="yellow"/>
          <w:lang w:val="en-US" w:eastAsia="zh-CN"/>
        </w:rPr>
        <w:t>CITA AUTOR 2</w:t>
      </w:r>
    </w:p>
    <w:p w14:paraId="474E98AE" w14:textId="77777777" w:rsidR="00C37732" w:rsidRPr="00D81E9A" w:rsidRDefault="00C37732" w:rsidP="00C37732">
      <w:pPr>
        <w:spacing w:line="480" w:lineRule="auto"/>
        <w:ind w:left="720" w:hanging="720"/>
        <w:contextualSpacing/>
        <w:jc w:val="both"/>
        <w:rPr>
          <w:rFonts w:eastAsia="Times New Roman"/>
          <w:bCs/>
          <w:kern w:val="18"/>
          <w:sz w:val="20"/>
          <w:szCs w:val="20"/>
          <w:lang w:val="en-US" w:eastAsia="es-ES"/>
        </w:rPr>
      </w:pPr>
      <w:r w:rsidRPr="004B1E4E">
        <w:rPr>
          <w:rFonts w:eastAsia="Times New Roman"/>
          <w:bCs/>
          <w:kern w:val="18"/>
          <w:sz w:val="20"/>
          <w:szCs w:val="20"/>
          <w:lang w:eastAsia="es-ES"/>
        </w:rPr>
        <w:t xml:space="preserve">Macías González, F. (2017): </w:t>
      </w:r>
      <w:r w:rsidRPr="004B1E4E">
        <w:rPr>
          <w:rFonts w:eastAsia="Times New Roman"/>
          <w:bCs/>
          <w:i/>
          <w:kern w:val="18"/>
          <w:sz w:val="20"/>
          <w:szCs w:val="20"/>
          <w:lang w:eastAsia="es-ES"/>
        </w:rPr>
        <w:t>La problemática ambiental de urbanizaciones turísticas costeras: el ejemplo de Puerto Rico-Amadores, Gran Canaria (España)</w:t>
      </w:r>
      <w:r w:rsidRPr="004B1E4E">
        <w:rPr>
          <w:rFonts w:eastAsia="Times New Roman"/>
          <w:bCs/>
          <w:kern w:val="18"/>
          <w:sz w:val="20"/>
          <w:szCs w:val="20"/>
          <w:lang w:eastAsia="es-ES"/>
        </w:rPr>
        <w:t xml:space="preserve">. Tesis Doctoral dirigida por Pérez-Chacón, E., Gran Canaria, Universidad de Las Palmas de Gran Canaria, Repositorio (CRIS). </w:t>
      </w:r>
      <w:r w:rsidRPr="00D81E9A">
        <w:rPr>
          <w:rFonts w:eastAsia="Times New Roman"/>
          <w:bCs/>
          <w:kern w:val="18"/>
          <w:sz w:val="20"/>
          <w:szCs w:val="20"/>
          <w:lang w:val="en-US" w:eastAsia="es-ES"/>
        </w:rPr>
        <w:t>&lt;</w:t>
      </w:r>
      <w:r w:rsidRPr="00D81E9A">
        <w:rPr>
          <w:sz w:val="20"/>
          <w:szCs w:val="20"/>
          <w:lang w:val="en-US"/>
        </w:rPr>
        <w:t xml:space="preserve"> </w:t>
      </w:r>
      <w:r w:rsidRPr="00D81E9A">
        <w:rPr>
          <w:rFonts w:eastAsia="Times New Roman"/>
          <w:bCs/>
          <w:kern w:val="18"/>
          <w:sz w:val="20"/>
          <w:szCs w:val="20"/>
          <w:lang w:val="en-US" w:eastAsia="es-ES"/>
        </w:rPr>
        <w:t>http://hdl.handle.net/10553/54052&gt; (</w:t>
      </w:r>
      <w:proofErr w:type="spellStart"/>
      <w:r w:rsidRPr="00D81E9A">
        <w:rPr>
          <w:rFonts w:eastAsia="Times New Roman"/>
          <w:bCs/>
          <w:kern w:val="18"/>
          <w:sz w:val="20"/>
          <w:szCs w:val="20"/>
          <w:lang w:val="en-US" w:eastAsia="es-ES"/>
        </w:rPr>
        <w:t>consulta</w:t>
      </w:r>
      <w:proofErr w:type="spellEnd"/>
      <w:r w:rsidRPr="00D81E9A">
        <w:rPr>
          <w:rFonts w:eastAsia="Times New Roman"/>
          <w:bCs/>
          <w:kern w:val="18"/>
          <w:sz w:val="20"/>
          <w:szCs w:val="20"/>
          <w:lang w:val="en-US" w:eastAsia="es-ES"/>
        </w:rPr>
        <w:t xml:space="preserve">: </w:t>
      </w:r>
      <w:r>
        <w:rPr>
          <w:rFonts w:eastAsia="Times New Roman"/>
          <w:bCs/>
          <w:kern w:val="18"/>
          <w:sz w:val="20"/>
          <w:szCs w:val="20"/>
          <w:lang w:val="en-US" w:eastAsia="es-ES"/>
        </w:rPr>
        <w:t>20</w:t>
      </w:r>
      <w:r w:rsidRPr="00D81E9A">
        <w:rPr>
          <w:rFonts w:eastAsia="Times New Roman"/>
          <w:bCs/>
          <w:kern w:val="18"/>
          <w:sz w:val="20"/>
          <w:szCs w:val="20"/>
          <w:lang w:val="en-US" w:eastAsia="es-ES"/>
        </w:rPr>
        <w:t>/</w:t>
      </w:r>
      <w:r>
        <w:rPr>
          <w:rFonts w:eastAsia="Times New Roman"/>
          <w:bCs/>
          <w:kern w:val="18"/>
          <w:sz w:val="20"/>
          <w:szCs w:val="20"/>
          <w:lang w:val="en-US" w:eastAsia="es-ES"/>
        </w:rPr>
        <w:t>01/2020</w:t>
      </w:r>
      <w:r w:rsidRPr="00D81E9A">
        <w:rPr>
          <w:rFonts w:eastAsia="Times New Roman"/>
          <w:bCs/>
          <w:kern w:val="18"/>
          <w:sz w:val="20"/>
          <w:szCs w:val="20"/>
          <w:lang w:val="en-US" w:eastAsia="es-ES"/>
        </w:rPr>
        <w:t>).</w:t>
      </w:r>
    </w:p>
    <w:p w14:paraId="2D4414CB" w14:textId="77777777" w:rsidR="00C37732" w:rsidRPr="004B1E4E" w:rsidRDefault="00C37732" w:rsidP="00C37732">
      <w:pPr>
        <w:spacing w:line="480" w:lineRule="auto"/>
        <w:ind w:left="720" w:hanging="720"/>
        <w:contextualSpacing/>
        <w:jc w:val="both"/>
        <w:rPr>
          <w:rFonts w:eastAsia="Times New Roman"/>
          <w:bCs/>
          <w:kern w:val="18"/>
          <w:sz w:val="20"/>
          <w:szCs w:val="20"/>
          <w:lang w:val="en-US" w:eastAsia="es-ES"/>
        </w:rPr>
      </w:pPr>
      <w:proofErr w:type="spellStart"/>
      <w:r w:rsidRPr="004B1E4E">
        <w:rPr>
          <w:rFonts w:eastAsia="Times New Roman"/>
          <w:bCs/>
          <w:kern w:val="18"/>
          <w:sz w:val="20"/>
          <w:szCs w:val="20"/>
          <w:lang w:val="en-US" w:eastAsia="es-ES"/>
        </w:rPr>
        <w:t>Mccarthy</w:t>
      </w:r>
      <w:proofErr w:type="spellEnd"/>
      <w:r w:rsidRPr="004B1E4E">
        <w:rPr>
          <w:rFonts w:eastAsia="Times New Roman"/>
          <w:bCs/>
          <w:kern w:val="18"/>
          <w:sz w:val="20"/>
          <w:szCs w:val="20"/>
          <w:lang w:val="en-US" w:eastAsia="es-ES"/>
        </w:rPr>
        <w:t xml:space="preserve">, J.J., </w:t>
      </w:r>
      <w:proofErr w:type="spellStart"/>
      <w:r w:rsidRPr="004B1E4E">
        <w:rPr>
          <w:rFonts w:eastAsia="Times New Roman"/>
          <w:bCs/>
          <w:kern w:val="18"/>
          <w:sz w:val="20"/>
          <w:szCs w:val="20"/>
          <w:lang w:val="en-US" w:eastAsia="es-ES"/>
        </w:rPr>
        <w:t>Canziani</w:t>
      </w:r>
      <w:proofErr w:type="spellEnd"/>
      <w:r w:rsidRPr="004B1E4E">
        <w:rPr>
          <w:rFonts w:eastAsia="Times New Roman"/>
          <w:bCs/>
          <w:kern w:val="18"/>
          <w:sz w:val="20"/>
          <w:szCs w:val="20"/>
          <w:lang w:val="en-US" w:eastAsia="es-ES"/>
        </w:rPr>
        <w:t xml:space="preserve">, O.F., Leary, N.A., </w:t>
      </w:r>
      <w:proofErr w:type="spellStart"/>
      <w:r w:rsidRPr="004B1E4E">
        <w:rPr>
          <w:rFonts w:eastAsia="Times New Roman"/>
          <w:bCs/>
          <w:kern w:val="18"/>
          <w:sz w:val="20"/>
          <w:szCs w:val="20"/>
          <w:lang w:val="en-US" w:eastAsia="es-ES"/>
        </w:rPr>
        <w:t>Dokken</w:t>
      </w:r>
      <w:proofErr w:type="spellEnd"/>
      <w:r w:rsidRPr="004B1E4E">
        <w:rPr>
          <w:rFonts w:eastAsia="Times New Roman"/>
          <w:bCs/>
          <w:kern w:val="18"/>
          <w:sz w:val="20"/>
          <w:szCs w:val="20"/>
          <w:lang w:val="en-US" w:eastAsia="es-ES"/>
        </w:rPr>
        <w:t xml:space="preserve">, D.J. &amp; White, K.S. (2001): </w:t>
      </w:r>
      <w:r w:rsidRPr="004B1E4E">
        <w:rPr>
          <w:rFonts w:eastAsia="Times New Roman"/>
          <w:bCs/>
          <w:kern w:val="18"/>
          <w:sz w:val="20"/>
          <w:szCs w:val="20"/>
          <w:lang w:val="en-GB" w:eastAsia="es-ES"/>
        </w:rPr>
        <w:t xml:space="preserve">Climate Change 2001: Impacts, Adaptation, and Vulnerability. </w:t>
      </w:r>
      <w:r w:rsidRPr="004B1E4E">
        <w:rPr>
          <w:rFonts w:eastAsia="Times New Roman"/>
          <w:bCs/>
          <w:i/>
          <w:kern w:val="18"/>
          <w:sz w:val="20"/>
          <w:szCs w:val="20"/>
          <w:lang w:val="en-GB" w:eastAsia="es-ES"/>
        </w:rPr>
        <w:t>Working Group II of the Intergovernmental Panel on Climate Change</w:t>
      </w:r>
      <w:r w:rsidRPr="004B1E4E">
        <w:rPr>
          <w:rFonts w:eastAsia="Times New Roman"/>
          <w:bCs/>
          <w:kern w:val="18"/>
          <w:sz w:val="20"/>
          <w:szCs w:val="20"/>
          <w:lang w:val="en-GB" w:eastAsia="es-ES"/>
        </w:rPr>
        <w:t>, Cambridge University Press, Cambridge, UK.</w:t>
      </w:r>
    </w:p>
    <w:p w14:paraId="27DE7176" w14:textId="77777777" w:rsidR="00C37732" w:rsidRPr="004B1E4E" w:rsidRDefault="00C37732" w:rsidP="00C37732">
      <w:pPr>
        <w:spacing w:line="480" w:lineRule="auto"/>
        <w:ind w:left="720" w:hanging="720"/>
        <w:contextualSpacing/>
        <w:jc w:val="both"/>
        <w:rPr>
          <w:rFonts w:eastAsia="Times New Roman"/>
          <w:bCs/>
          <w:kern w:val="18"/>
          <w:sz w:val="20"/>
          <w:szCs w:val="20"/>
          <w:lang w:val="en-GB" w:eastAsia="es-ES"/>
        </w:rPr>
      </w:pPr>
      <w:proofErr w:type="spellStart"/>
      <w:r w:rsidRPr="004B1E4E">
        <w:rPr>
          <w:rFonts w:eastAsia="Times New Roman"/>
          <w:bCs/>
          <w:kern w:val="18"/>
          <w:sz w:val="20"/>
          <w:szCs w:val="20"/>
          <w:lang w:eastAsia="es-ES"/>
        </w:rPr>
        <w:t>Mapama</w:t>
      </w:r>
      <w:proofErr w:type="spellEnd"/>
      <w:r w:rsidRPr="004B1E4E">
        <w:rPr>
          <w:rFonts w:eastAsia="Times New Roman"/>
          <w:bCs/>
          <w:kern w:val="18"/>
          <w:sz w:val="20"/>
          <w:szCs w:val="20"/>
          <w:lang w:eastAsia="es-ES"/>
        </w:rPr>
        <w:t xml:space="preserve"> (2015): </w:t>
      </w:r>
      <w:r w:rsidRPr="004B1E4E">
        <w:rPr>
          <w:rFonts w:eastAsia="Times New Roman"/>
          <w:bCs/>
          <w:i/>
          <w:kern w:val="18"/>
          <w:sz w:val="20"/>
          <w:szCs w:val="20"/>
          <w:lang w:eastAsia="es-ES"/>
        </w:rPr>
        <w:t>Guía para la Elaboración de Planes Locales de Adaptación al Cambio Climático</w:t>
      </w:r>
      <w:r w:rsidRPr="004B1E4E">
        <w:rPr>
          <w:rFonts w:eastAsia="Times New Roman"/>
          <w:bCs/>
          <w:kern w:val="18"/>
          <w:sz w:val="20"/>
          <w:szCs w:val="20"/>
          <w:lang w:eastAsia="es-ES"/>
        </w:rPr>
        <w:t xml:space="preserve">. </w:t>
      </w:r>
      <w:proofErr w:type="spellStart"/>
      <w:r w:rsidRPr="004B1E4E">
        <w:rPr>
          <w:rFonts w:eastAsia="Times New Roman"/>
          <w:bCs/>
          <w:kern w:val="18"/>
          <w:sz w:val="20"/>
          <w:szCs w:val="20"/>
          <w:lang w:val="en-GB" w:eastAsia="es-ES"/>
        </w:rPr>
        <w:t>Tecnalia</w:t>
      </w:r>
      <w:proofErr w:type="spellEnd"/>
      <w:r w:rsidRPr="004B1E4E">
        <w:rPr>
          <w:rFonts w:eastAsia="Times New Roman"/>
          <w:bCs/>
          <w:kern w:val="18"/>
          <w:sz w:val="20"/>
          <w:szCs w:val="20"/>
          <w:lang w:val="en-GB" w:eastAsia="es-ES"/>
        </w:rPr>
        <w:t>. Victoria-</w:t>
      </w:r>
      <w:proofErr w:type="spellStart"/>
      <w:r w:rsidRPr="004B1E4E">
        <w:rPr>
          <w:rFonts w:eastAsia="Times New Roman"/>
          <w:bCs/>
          <w:kern w:val="18"/>
          <w:sz w:val="20"/>
          <w:szCs w:val="20"/>
          <w:lang w:val="en-GB" w:eastAsia="es-ES"/>
        </w:rPr>
        <w:t>Gazteiz</w:t>
      </w:r>
      <w:proofErr w:type="spellEnd"/>
      <w:r w:rsidRPr="004B1E4E">
        <w:rPr>
          <w:rFonts w:eastAsia="Times New Roman"/>
          <w:bCs/>
          <w:kern w:val="18"/>
          <w:sz w:val="20"/>
          <w:szCs w:val="20"/>
          <w:lang w:val="en-GB" w:eastAsia="es-ES"/>
        </w:rPr>
        <w:t>.</w:t>
      </w:r>
    </w:p>
    <w:p w14:paraId="1BB37ACF" w14:textId="77777777" w:rsidR="00C37732" w:rsidRPr="004B1E4E" w:rsidRDefault="00C37732" w:rsidP="00C37732">
      <w:pPr>
        <w:spacing w:line="480" w:lineRule="auto"/>
        <w:ind w:left="720" w:hanging="720"/>
        <w:contextualSpacing/>
        <w:jc w:val="both"/>
        <w:rPr>
          <w:rFonts w:eastAsia="Times New Roman"/>
          <w:bCs/>
          <w:kern w:val="18"/>
          <w:sz w:val="20"/>
          <w:szCs w:val="20"/>
          <w:lang w:val="en-US" w:eastAsia="es-ES"/>
        </w:rPr>
      </w:pPr>
      <w:proofErr w:type="spellStart"/>
      <w:r w:rsidRPr="004B1E4E">
        <w:rPr>
          <w:rFonts w:eastAsia="Times New Roman"/>
          <w:bCs/>
          <w:kern w:val="18"/>
          <w:sz w:val="20"/>
          <w:szCs w:val="20"/>
          <w:lang w:val="en-GB" w:eastAsia="es-ES"/>
        </w:rPr>
        <w:t>O’brien</w:t>
      </w:r>
      <w:proofErr w:type="spellEnd"/>
      <w:r w:rsidRPr="004B1E4E">
        <w:rPr>
          <w:rFonts w:eastAsia="Times New Roman"/>
          <w:bCs/>
          <w:kern w:val="18"/>
          <w:sz w:val="20"/>
          <w:szCs w:val="20"/>
          <w:lang w:val="en-GB" w:eastAsia="es-ES"/>
        </w:rPr>
        <w:t xml:space="preserve">, K., </w:t>
      </w:r>
      <w:proofErr w:type="spellStart"/>
      <w:r w:rsidRPr="004B1E4E">
        <w:rPr>
          <w:rFonts w:eastAsia="Times New Roman"/>
          <w:bCs/>
          <w:kern w:val="18"/>
          <w:sz w:val="20"/>
          <w:szCs w:val="20"/>
          <w:lang w:val="en-GB" w:eastAsia="es-ES"/>
        </w:rPr>
        <w:t>Sygna</w:t>
      </w:r>
      <w:proofErr w:type="spellEnd"/>
      <w:r w:rsidRPr="004B1E4E">
        <w:rPr>
          <w:rFonts w:eastAsia="Times New Roman"/>
          <w:bCs/>
          <w:kern w:val="18"/>
          <w:sz w:val="20"/>
          <w:szCs w:val="20"/>
          <w:lang w:val="en-GB" w:eastAsia="es-ES"/>
        </w:rPr>
        <w:t xml:space="preserve">, L., </w:t>
      </w:r>
      <w:proofErr w:type="spellStart"/>
      <w:r w:rsidRPr="004B1E4E">
        <w:rPr>
          <w:rFonts w:eastAsia="Times New Roman"/>
          <w:bCs/>
          <w:kern w:val="18"/>
          <w:sz w:val="20"/>
          <w:szCs w:val="20"/>
          <w:lang w:val="en-GB" w:eastAsia="es-ES"/>
        </w:rPr>
        <w:t>Leinchenko</w:t>
      </w:r>
      <w:proofErr w:type="spellEnd"/>
      <w:r w:rsidRPr="004B1E4E">
        <w:rPr>
          <w:rFonts w:eastAsia="Times New Roman"/>
          <w:bCs/>
          <w:kern w:val="18"/>
          <w:sz w:val="20"/>
          <w:szCs w:val="20"/>
          <w:lang w:val="en-GB" w:eastAsia="es-ES"/>
        </w:rPr>
        <w:t xml:space="preserve">, R., </w:t>
      </w:r>
      <w:proofErr w:type="spellStart"/>
      <w:r w:rsidRPr="004B1E4E">
        <w:rPr>
          <w:rFonts w:eastAsia="Times New Roman"/>
          <w:bCs/>
          <w:kern w:val="18"/>
          <w:sz w:val="20"/>
          <w:szCs w:val="20"/>
          <w:lang w:val="en-GB" w:eastAsia="es-ES"/>
        </w:rPr>
        <w:t>Adger</w:t>
      </w:r>
      <w:proofErr w:type="spellEnd"/>
      <w:r w:rsidRPr="004B1E4E">
        <w:rPr>
          <w:rFonts w:eastAsia="Times New Roman"/>
          <w:bCs/>
          <w:kern w:val="18"/>
          <w:sz w:val="20"/>
          <w:szCs w:val="20"/>
          <w:lang w:val="en-GB" w:eastAsia="es-ES"/>
        </w:rPr>
        <w:t xml:space="preserve">, W.N., Barnett, J., Mitchell, T., </w:t>
      </w:r>
      <w:proofErr w:type="spellStart"/>
      <w:r w:rsidRPr="004B1E4E">
        <w:rPr>
          <w:rFonts w:eastAsia="Times New Roman"/>
          <w:bCs/>
          <w:kern w:val="18"/>
          <w:sz w:val="20"/>
          <w:szCs w:val="20"/>
          <w:lang w:val="en-GB" w:eastAsia="es-ES"/>
        </w:rPr>
        <w:t>Schipper</w:t>
      </w:r>
      <w:proofErr w:type="spellEnd"/>
      <w:r w:rsidRPr="004B1E4E">
        <w:rPr>
          <w:rFonts w:eastAsia="Times New Roman"/>
          <w:bCs/>
          <w:kern w:val="18"/>
          <w:sz w:val="20"/>
          <w:szCs w:val="20"/>
          <w:lang w:val="en-GB" w:eastAsia="es-ES"/>
        </w:rPr>
        <w:t xml:space="preserve">, L., Tanner, T., Vogel, C. &amp; </w:t>
      </w:r>
      <w:proofErr w:type="spellStart"/>
      <w:r w:rsidRPr="004B1E4E">
        <w:rPr>
          <w:rFonts w:eastAsia="Times New Roman"/>
          <w:bCs/>
          <w:kern w:val="18"/>
          <w:sz w:val="20"/>
          <w:szCs w:val="20"/>
          <w:lang w:val="en-GB" w:eastAsia="es-ES"/>
        </w:rPr>
        <w:t>Mortreux</w:t>
      </w:r>
      <w:proofErr w:type="spellEnd"/>
      <w:r w:rsidRPr="004B1E4E">
        <w:rPr>
          <w:rFonts w:eastAsia="Times New Roman"/>
          <w:bCs/>
          <w:kern w:val="18"/>
          <w:sz w:val="20"/>
          <w:szCs w:val="20"/>
          <w:lang w:val="en-GB" w:eastAsia="es-ES"/>
        </w:rPr>
        <w:t xml:space="preserve">, C. (2008): </w:t>
      </w:r>
      <w:r w:rsidRPr="004B1E4E">
        <w:rPr>
          <w:rFonts w:eastAsia="Times New Roman"/>
          <w:bCs/>
          <w:i/>
          <w:kern w:val="18"/>
          <w:sz w:val="20"/>
          <w:szCs w:val="20"/>
          <w:lang w:val="en-GB" w:eastAsia="es-ES"/>
        </w:rPr>
        <w:t>Disaster Risk Reduction, Climate Change Adaptation and Human Security</w:t>
      </w:r>
      <w:r w:rsidRPr="004B1E4E">
        <w:rPr>
          <w:rFonts w:eastAsia="Times New Roman"/>
          <w:bCs/>
          <w:kern w:val="18"/>
          <w:sz w:val="20"/>
          <w:szCs w:val="20"/>
          <w:lang w:val="en-GB" w:eastAsia="es-ES"/>
        </w:rPr>
        <w:t xml:space="preserve">. </w:t>
      </w:r>
      <w:r w:rsidRPr="004B1E4E">
        <w:rPr>
          <w:rFonts w:eastAsia="Times New Roman"/>
          <w:bCs/>
          <w:kern w:val="18"/>
          <w:sz w:val="20"/>
          <w:szCs w:val="20"/>
          <w:lang w:val="en-US" w:eastAsia="es-ES"/>
        </w:rPr>
        <w:t>GECHS Report 2008:3, Global Environmental Change and Human Security, Oslo, Norway.</w:t>
      </w:r>
    </w:p>
    <w:p w14:paraId="4F7B20DA" w14:textId="77777777" w:rsidR="00C37732" w:rsidRPr="004B1E4E" w:rsidRDefault="00C37732" w:rsidP="00C37732">
      <w:pPr>
        <w:spacing w:line="480" w:lineRule="auto"/>
        <w:ind w:left="720" w:hanging="720"/>
        <w:contextualSpacing/>
        <w:jc w:val="both"/>
        <w:rPr>
          <w:rFonts w:eastAsia="Times New Roman"/>
          <w:bCs/>
          <w:kern w:val="18"/>
          <w:sz w:val="20"/>
          <w:szCs w:val="20"/>
          <w:lang w:eastAsia="es-ES"/>
        </w:rPr>
      </w:pPr>
      <w:r w:rsidRPr="004B1E4E">
        <w:rPr>
          <w:rFonts w:eastAsia="Times New Roman"/>
          <w:bCs/>
          <w:kern w:val="18"/>
          <w:sz w:val="20"/>
          <w:szCs w:val="20"/>
          <w:lang w:eastAsia="es-ES"/>
        </w:rPr>
        <w:t xml:space="preserve">Pérez-Chacón, E. </w:t>
      </w:r>
      <w:proofErr w:type="spellStart"/>
      <w:r w:rsidRPr="004B1E4E">
        <w:rPr>
          <w:rFonts w:eastAsia="Times New Roman"/>
          <w:bCs/>
          <w:kern w:val="18"/>
          <w:sz w:val="20"/>
          <w:szCs w:val="20"/>
          <w:lang w:eastAsia="es-ES"/>
        </w:rPr>
        <w:t>Hernádez-Calvento</w:t>
      </w:r>
      <w:proofErr w:type="spellEnd"/>
      <w:r w:rsidRPr="004B1E4E">
        <w:rPr>
          <w:rFonts w:eastAsia="Times New Roman"/>
          <w:bCs/>
          <w:kern w:val="18"/>
          <w:sz w:val="20"/>
          <w:szCs w:val="20"/>
          <w:lang w:eastAsia="es-ES"/>
        </w:rPr>
        <w:t>, L. y Yanes, A. (2007): Transformaciones humanas y sus consecuencias sobre los litorales de las Islas Canarias</w:t>
      </w:r>
      <w:r>
        <w:rPr>
          <w:rStyle w:val="st1"/>
          <w:color w:val="000000"/>
          <w:sz w:val="20"/>
          <w:szCs w:val="20"/>
        </w:rPr>
        <w:t>.</w:t>
      </w:r>
      <w:r>
        <w:rPr>
          <w:rFonts w:eastAsia="Times New Roman"/>
          <w:bCs/>
          <w:kern w:val="18"/>
          <w:sz w:val="20"/>
          <w:szCs w:val="20"/>
          <w:lang w:eastAsia="es-ES"/>
        </w:rPr>
        <w:t xml:space="preserve"> </w:t>
      </w:r>
      <w:proofErr w:type="gramStart"/>
      <w:r>
        <w:rPr>
          <w:rFonts w:eastAsia="Times New Roman"/>
          <w:bCs/>
          <w:kern w:val="18"/>
          <w:sz w:val="20"/>
          <w:szCs w:val="20"/>
          <w:lang w:eastAsia="es-ES"/>
        </w:rPr>
        <w:t xml:space="preserve">En </w:t>
      </w:r>
      <w:r w:rsidRPr="004B1E4E">
        <w:rPr>
          <w:rFonts w:eastAsia="Times New Roman"/>
          <w:bCs/>
          <w:kern w:val="18"/>
          <w:sz w:val="20"/>
          <w:szCs w:val="20"/>
          <w:lang w:eastAsia="es-ES"/>
        </w:rPr>
        <w:t xml:space="preserve"> </w:t>
      </w:r>
      <w:proofErr w:type="spellStart"/>
      <w:r w:rsidRPr="004B1E4E">
        <w:rPr>
          <w:rFonts w:eastAsia="Times New Roman"/>
          <w:bCs/>
          <w:kern w:val="18"/>
          <w:sz w:val="20"/>
          <w:szCs w:val="20"/>
          <w:lang w:eastAsia="es-ES"/>
        </w:rPr>
        <w:t>Etienne</w:t>
      </w:r>
      <w:proofErr w:type="spellEnd"/>
      <w:proofErr w:type="gramEnd"/>
      <w:r w:rsidRPr="004B1E4E">
        <w:rPr>
          <w:rFonts w:eastAsia="Times New Roman"/>
          <w:bCs/>
          <w:kern w:val="18"/>
          <w:sz w:val="20"/>
          <w:szCs w:val="20"/>
          <w:lang w:eastAsia="es-ES"/>
        </w:rPr>
        <w:t>, S. et Paris, R. (</w:t>
      </w:r>
      <w:proofErr w:type="spellStart"/>
      <w:r>
        <w:rPr>
          <w:rFonts w:eastAsia="Times New Roman"/>
          <w:bCs/>
          <w:kern w:val="18"/>
          <w:sz w:val="20"/>
          <w:szCs w:val="20"/>
          <w:lang w:eastAsia="es-ES"/>
        </w:rPr>
        <w:t>E</w:t>
      </w:r>
      <w:r w:rsidRPr="004B1E4E">
        <w:rPr>
          <w:rFonts w:eastAsia="Times New Roman"/>
          <w:bCs/>
          <w:kern w:val="18"/>
          <w:sz w:val="20"/>
          <w:szCs w:val="20"/>
          <w:lang w:eastAsia="es-ES"/>
        </w:rPr>
        <w:t>ds</w:t>
      </w:r>
      <w:proofErr w:type="spellEnd"/>
      <w:r w:rsidRPr="004B1E4E">
        <w:rPr>
          <w:rFonts w:eastAsia="Times New Roman"/>
          <w:bCs/>
          <w:kern w:val="18"/>
          <w:sz w:val="20"/>
          <w:szCs w:val="20"/>
          <w:lang w:eastAsia="es-ES"/>
        </w:rPr>
        <w:t xml:space="preserve">): </w:t>
      </w:r>
      <w:r w:rsidRPr="004B1E4E">
        <w:rPr>
          <w:rFonts w:eastAsia="Times New Roman"/>
          <w:bCs/>
          <w:i/>
          <w:kern w:val="18"/>
          <w:sz w:val="20"/>
          <w:szCs w:val="20"/>
          <w:lang w:eastAsia="es-ES"/>
        </w:rPr>
        <w:t xml:space="preserve">Les </w:t>
      </w:r>
      <w:proofErr w:type="spellStart"/>
      <w:r w:rsidRPr="004B1E4E">
        <w:rPr>
          <w:rFonts w:eastAsia="Times New Roman"/>
          <w:bCs/>
          <w:i/>
          <w:kern w:val="18"/>
          <w:sz w:val="20"/>
          <w:szCs w:val="20"/>
          <w:lang w:eastAsia="es-ES"/>
        </w:rPr>
        <w:t>littoraux</w:t>
      </w:r>
      <w:proofErr w:type="spellEnd"/>
      <w:r w:rsidRPr="004B1E4E">
        <w:rPr>
          <w:rFonts w:eastAsia="Times New Roman"/>
          <w:bCs/>
          <w:i/>
          <w:kern w:val="18"/>
          <w:sz w:val="20"/>
          <w:szCs w:val="20"/>
          <w:lang w:eastAsia="es-ES"/>
        </w:rPr>
        <w:t xml:space="preserve"> </w:t>
      </w:r>
      <w:proofErr w:type="spellStart"/>
      <w:r w:rsidRPr="004B1E4E">
        <w:rPr>
          <w:rFonts w:eastAsia="Times New Roman"/>
          <w:bCs/>
          <w:i/>
          <w:kern w:val="18"/>
          <w:sz w:val="20"/>
          <w:szCs w:val="20"/>
          <w:lang w:eastAsia="es-ES"/>
        </w:rPr>
        <w:t>volcaniques</w:t>
      </w:r>
      <w:proofErr w:type="spellEnd"/>
      <w:r w:rsidRPr="004B1E4E">
        <w:rPr>
          <w:rFonts w:eastAsia="Times New Roman"/>
          <w:bCs/>
          <w:i/>
          <w:kern w:val="18"/>
          <w:sz w:val="20"/>
          <w:szCs w:val="20"/>
          <w:lang w:eastAsia="es-ES"/>
        </w:rPr>
        <w:t xml:space="preserve">. Une aproche </w:t>
      </w:r>
      <w:proofErr w:type="spellStart"/>
      <w:r w:rsidRPr="004B1E4E">
        <w:rPr>
          <w:rFonts w:eastAsia="Times New Roman"/>
          <w:bCs/>
          <w:i/>
          <w:kern w:val="18"/>
          <w:sz w:val="20"/>
          <w:szCs w:val="20"/>
          <w:lang w:eastAsia="es-ES"/>
        </w:rPr>
        <w:t>environnementale</w:t>
      </w:r>
      <w:proofErr w:type="spellEnd"/>
      <w:r w:rsidRPr="004B1E4E">
        <w:rPr>
          <w:rFonts w:eastAsia="Times New Roman"/>
          <w:bCs/>
          <w:kern w:val="18"/>
          <w:sz w:val="20"/>
          <w:szCs w:val="20"/>
          <w:lang w:eastAsia="es-ES"/>
        </w:rPr>
        <w:t xml:space="preserve">. Clermont-Ferrand, </w:t>
      </w:r>
      <w:proofErr w:type="spellStart"/>
      <w:r w:rsidRPr="004B1E4E">
        <w:rPr>
          <w:rFonts w:eastAsia="Times New Roman"/>
          <w:bCs/>
          <w:kern w:val="18"/>
          <w:sz w:val="20"/>
          <w:szCs w:val="20"/>
          <w:lang w:eastAsia="es-ES"/>
        </w:rPr>
        <w:t>Press</w:t>
      </w:r>
      <w:proofErr w:type="spellEnd"/>
      <w:r w:rsidRPr="004B1E4E">
        <w:rPr>
          <w:rFonts w:eastAsia="Times New Roman"/>
          <w:bCs/>
          <w:kern w:val="18"/>
          <w:sz w:val="20"/>
          <w:szCs w:val="20"/>
          <w:lang w:eastAsia="es-ES"/>
        </w:rPr>
        <w:t xml:space="preserve"> </w:t>
      </w:r>
      <w:proofErr w:type="spellStart"/>
      <w:r w:rsidRPr="004B1E4E">
        <w:rPr>
          <w:rFonts w:eastAsia="Times New Roman"/>
          <w:bCs/>
          <w:kern w:val="18"/>
          <w:sz w:val="20"/>
          <w:szCs w:val="20"/>
          <w:lang w:eastAsia="es-ES"/>
        </w:rPr>
        <w:t>Universitaires</w:t>
      </w:r>
      <w:proofErr w:type="spellEnd"/>
      <w:r w:rsidRPr="004B1E4E">
        <w:rPr>
          <w:rFonts w:eastAsia="Times New Roman"/>
          <w:bCs/>
          <w:kern w:val="18"/>
          <w:sz w:val="20"/>
          <w:szCs w:val="20"/>
          <w:lang w:eastAsia="es-ES"/>
        </w:rPr>
        <w:t xml:space="preserve">   Blaise-Pascal, 173-191.</w:t>
      </w:r>
    </w:p>
    <w:p w14:paraId="41A83A3D" w14:textId="77777777" w:rsidR="00C37732" w:rsidRPr="004B1E4E" w:rsidRDefault="00C37732" w:rsidP="00C37732">
      <w:pPr>
        <w:spacing w:line="480" w:lineRule="auto"/>
        <w:ind w:left="720" w:hanging="720"/>
        <w:contextualSpacing/>
        <w:jc w:val="both"/>
        <w:rPr>
          <w:rFonts w:eastAsia="Times New Roman"/>
          <w:bCs/>
          <w:kern w:val="18"/>
          <w:sz w:val="20"/>
          <w:szCs w:val="20"/>
          <w:lang w:val="en-GB" w:eastAsia="es-ES"/>
        </w:rPr>
      </w:pPr>
      <w:r w:rsidRPr="004B1E4E">
        <w:rPr>
          <w:rFonts w:eastAsia="Times New Roman"/>
          <w:bCs/>
          <w:kern w:val="18"/>
          <w:sz w:val="20"/>
          <w:szCs w:val="20"/>
          <w:lang w:eastAsia="es-ES"/>
        </w:rPr>
        <w:lastRenderedPageBreak/>
        <w:t>P</w:t>
      </w:r>
      <w:r>
        <w:rPr>
          <w:rFonts w:eastAsia="Times New Roman"/>
          <w:bCs/>
          <w:kern w:val="18"/>
          <w:sz w:val="20"/>
          <w:szCs w:val="20"/>
          <w:lang w:eastAsia="es-ES"/>
        </w:rPr>
        <w:t>DA</w:t>
      </w:r>
      <w:r w:rsidRPr="004B1E4E">
        <w:rPr>
          <w:rFonts w:eastAsia="Times New Roman"/>
          <w:bCs/>
          <w:kern w:val="18"/>
          <w:sz w:val="20"/>
          <w:szCs w:val="20"/>
          <w:lang w:eastAsia="es-ES"/>
        </w:rPr>
        <w:t xml:space="preserve"> (2015): </w:t>
      </w:r>
      <w:r w:rsidRPr="004B1E4E">
        <w:rPr>
          <w:rFonts w:eastAsia="Times New Roman"/>
          <w:bCs/>
          <w:i/>
          <w:kern w:val="18"/>
          <w:sz w:val="20"/>
          <w:szCs w:val="20"/>
          <w:lang w:eastAsia="es-ES"/>
        </w:rPr>
        <w:t>Plan de Defensa contra Avenidas</w:t>
      </w:r>
      <w:r w:rsidRPr="004B1E4E">
        <w:rPr>
          <w:rFonts w:eastAsia="Times New Roman"/>
          <w:bCs/>
          <w:kern w:val="18"/>
          <w:sz w:val="20"/>
          <w:szCs w:val="20"/>
          <w:lang w:eastAsia="es-ES"/>
        </w:rPr>
        <w:t xml:space="preserve">. Cabildo Insular de Tenerife. </w:t>
      </w:r>
      <w:r w:rsidRPr="00304F3B">
        <w:rPr>
          <w:rFonts w:eastAsia="Times New Roman"/>
          <w:bCs/>
          <w:kern w:val="18"/>
          <w:sz w:val="20"/>
          <w:szCs w:val="20"/>
          <w:lang w:val="en-US" w:eastAsia="es-ES"/>
        </w:rPr>
        <w:t xml:space="preserve">CIATF. </w:t>
      </w:r>
      <w:r w:rsidRPr="004B1E4E">
        <w:rPr>
          <w:rFonts w:eastAsia="Times New Roman"/>
          <w:bCs/>
          <w:kern w:val="18"/>
          <w:sz w:val="20"/>
          <w:szCs w:val="20"/>
          <w:lang w:val="en-GB" w:eastAsia="es-ES"/>
        </w:rPr>
        <w:t>INCLAN.</w:t>
      </w:r>
    </w:p>
    <w:p w14:paraId="6DCF1757" w14:textId="77777777" w:rsidR="00C37732" w:rsidRDefault="00C37732" w:rsidP="00C37732">
      <w:pPr>
        <w:spacing w:line="480" w:lineRule="auto"/>
        <w:ind w:left="720" w:hanging="720"/>
        <w:contextualSpacing/>
        <w:jc w:val="both"/>
        <w:rPr>
          <w:rFonts w:eastAsia="Times New Roman"/>
          <w:bCs/>
          <w:kern w:val="18"/>
          <w:sz w:val="20"/>
          <w:szCs w:val="20"/>
          <w:lang w:val="en-US" w:eastAsia="es-ES"/>
        </w:rPr>
      </w:pPr>
      <w:proofErr w:type="spellStart"/>
      <w:r>
        <w:rPr>
          <w:rFonts w:eastAsia="Times New Roman"/>
          <w:bCs/>
          <w:kern w:val="18"/>
          <w:sz w:val="20"/>
          <w:szCs w:val="20"/>
          <w:lang w:val="en-US" w:eastAsia="es-ES"/>
        </w:rPr>
        <w:t>Polsky</w:t>
      </w:r>
      <w:proofErr w:type="spellEnd"/>
      <w:r>
        <w:rPr>
          <w:rFonts w:eastAsia="Times New Roman"/>
          <w:bCs/>
          <w:kern w:val="18"/>
          <w:sz w:val="20"/>
          <w:szCs w:val="20"/>
          <w:lang w:val="en-US" w:eastAsia="es-ES"/>
        </w:rPr>
        <w:t xml:space="preserve">, C., </w:t>
      </w:r>
      <w:proofErr w:type="spellStart"/>
      <w:r>
        <w:rPr>
          <w:rFonts w:eastAsia="Times New Roman"/>
          <w:bCs/>
          <w:kern w:val="18"/>
          <w:sz w:val="20"/>
          <w:szCs w:val="20"/>
          <w:lang w:val="en-US" w:eastAsia="es-ES"/>
        </w:rPr>
        <w:t>Schrö</w:t>
      </w:r>
      <w:r w:rsidRPr="007D24EB">
        <w:rPr>
          <w:rFonts w:eastAsia="Times New Roman"/>
          <w:bCs/>
          <w:kern w:val="18"/>
          <w:sz w:val="20"/>
          <w:szCs w:val="20"/>
          <w:lang w:val="en-US" w:eastAsia="es-ES"/>
        </w:rPr>
        <w:t>ter</w:t>
      </w:r>
      <w:proofErr w:type="spellEnd"/>
      <w:r w:rsidRPr="007D24EB">
        <w:rPr>
          <w:rFonts w:eastAsia="Times New Roman"/>
          <w:bCs/>
          <w:kern w:val="18"/>
          <w:sz w:val="20"/>
          <w:szCs w:val="20"/>
          <w:lang w:val="en-US" w:eastAsia="es-ES"/>
        </w:rPr>
        <w:t xml:space="preserve">, D., </w:t>
      </w:r>
      <w:proofErr w:type="spellStart"/>
      <w:r w:rsidRPr="007D24EB">
        <w:rPr>
          <w:rFonts w:eastAsia="Times New Roman"/>
          <w:bCs/>
          <w:kern w:val="18"/>
          <w:sz w:val="20"/>
          <w:szCs w:val="20"/>
          <w:lang w:val="en-US" w:eastAsia="es-ES"/>
        </w:rPr>
        <w:t>Patt</w:t>
      </w:r>
      <w:proofErr w:type="spellEnd"/>
      <w:r w:rsidRPr="007D24EB">
        <w:rPr>
          <w:rFonts w:eastAsia="Times New Roman"/>
          <w:bCs/>
          <w:kern w:val="18"/>
          <w:sz w:val="20"/>
          <w:szCs w:val="20"/>
          <w:lang w:val="en-US" w:eastAsia="es-ES"/>
        </w:rPr>
        <w:t xml:space="preserve">, A., </w:t>
      </w:r>
      <w:proofErr w:type="spellStart"/>
      <w:r w:rsidRPr="007D24EB">
        <w:rPr>
          <w:rFonts w:eastAsia="Times New Roman"/>
          <w:bCs/>
          <w:kern w:val="18"/>
          <w:sz w:val="20"/>
          <w:szCs w:val="20"/>
          <w:lang w:val="en-US" w:eastAsia="es-ES"/>
        </w:rPr>
        <w:t>Gafﬁn</w:t>
      </w:r>
      <w:proofErr w:type="spellEnd"/>
      <w:r w:rsidRPr="007D24EB">
        <w:rPr>
          <w:rFonts w:eastAsia="Times New Roman"/>
          <w:bCs/>
          <w:kern w:val="18"/>
          <w:sz w:val="20"/>
          <w:szCs w:val="20"/>
          <w:lang w:val="en-US" w:eastAsia="es-ES"/>
        </w:rPr>
        <w:t xml:space="preserve">, S., Martello, M.L., Neff, R., </w:t>
      </w:r>
      <w:proofErr w:type="spellStart"/>
      <w:r w:rsidRPr="007D24EB">
        <w:rPr>
          <w:rFonts w:eastAsia="Times New Roman"/>
          <w:bCs/>
          <w:kern w:val="18"/>
          <w:sz w:val="20"/>
          <w:szCs w:val="20"/>
          <w:lang w:val="en-US" w:eastAsia="es-ES"/>
        </w:rPr>
        <w:t>Pulsip</w:t>
      </w:r>
      <w:r>
        <w:rPr>
          <w:rFonts w:eastAsia="Times New Roman"/>
          <w:bCs/>
          <w:kern w:val="18"/>
          <w:sz w:val="20"/>
          <w:szCs w:val="20"/>
          <w:lang w:val="en-US" w:eastAsia="es-ES"/>
        </w:rPr>
        <w:t>her</w:t>
      </w:r>
      <w:proofErr w:type="spellEnd"/>
      <w:r>
        <w:rPr>
          <w:rFonts w:eastAsia="Times New Roman"/>
          <w:bCs/>
          <w:kern w:val="18"/>
          <w:sz w:val="20"/>
          <w:szCs w:val="20"/>
          <w:lang w:val="en-US" w:eastAsia="es-ES"/>
        </w:rPr>
        <w:t xml:space="preserve">, A. &amp; </w:t>
      </w:r>
      <w:proofErr w:type="spellStart"/>
      <w:r>
        <w:rPr>
          <w:rFonts w:eastAsia="Times New Roman"/>
          <w:bCs/>
          <w:kern w:val="18"/>
          <w:sz w:val="20"/>
          <w:szCs w:val="20"/>
          <w:lang w:val="en-US" w:eastAsia="es-ES"/>
        </w:rPr>
        <w:t>Selin</w:t>
      </w:r>
      <w:proofErr w:type="spellEnd"/>
      <w:r>
        <w:rPr>
          <w:rFonts w:eastAsia="Times New Roman"/>
          <w:bCs/>
          <w:kern w:val="18"/>
          <w:sz w:val="20"/>
          <w:szCs w:val="20"/>
          <w:lang w:val="en-US" w:eastAsia="es-ES"/>
        </w:rPr>
        <w:t xml:space="preserve">, H. (2003): </w:t>
      </w:r>
      <w:r w:rsidRPr="007D24EB">
        <w:rPr>
          <w:rFonts w:eastAsia="Times New Roman"/>
          <w:bCs/>
          <w:i/>
          <w:kern w:val="18"/>
          <w:sz w:val="20"/>
          <w:szCs w:val="20"/>
          <w:lang w:val="en-US" w:eastAsia="es-ES"/>
        </w:rPr>
        <w:t>Assessing Vulnerabilities to the Effects of Global Change: An Eight-Step Approach</w:t>
      </w:r>
      <w:r>
        <w:rPr>
          <w:rFonts w:eastAsia="Times New Roman"/>
          <w:bCs/>
          <w:kern w:val="18"/>
          <w:sz w:val="20"/>
          <w:szCs w:val="20"/>
          <w:lang w:val="en-US" w:eastAsia="es-ES"/>
        </w:rPr>
        <w:t xml:space="preserve">. </w:t>
      </w:r>
      <w:proofErr w:type="spellStart"/>
      <w:r>
        <w:rPr>
          <w:rFonts w:eastAsia="Times New Roman"/>
          <w:bCs/>
          <w:kern w:val="18"/>
          <w:sz w:val="20"/>
          <w:szCs w:val="20"/>
          <w:lang w:val="en-US" w:eastAsia="es-ES"/>
        </w:rPr>
        <w:t>Belfer</w:t>
      </w:r>
      <w:proofErr w:type="spellEnd"/>
      <w:r>
        <w:rPr>
          <w:rFonts w:eastAsia="Times New Roman"/>
          <w:bCs/>
          <w:kern w:val="18"/>
          <w:sz w:val="20"/>
          <w:szCs w:val="20"/>
          <w:lang w:val="en-US" w:eastAsia="es-ES"/>
        </w:rPr>
        <w:t xml:space="preserve"> Center </w:t>
      </w:r>
      <w:r w:rsidRPr="007D24EB">
        <w:rPr>
          <w:rFonts w:eastAsia="Times New Roman"/>
          <w:bCs/>
          <w:kern w:val="18"/>
          <w:sz w:val="20"/>
          <w:szCs w:val="20"/>
          <w:lang w:val="en-US" w:eastAsia="es-ES"/>
        </w:rPr>
        <w:t>for Science and International Affairs Working Paper, Environmen</w:t>
      </w:r>
      <w:r>
        <w:rPr>
          <w:rFonts w:eastAsia="Times New Roman"/>
          <w:bCs/>
          <w:kern w:val="18"/>
          <w:sz w:val="20"/>
          <w:szCs w:val="20"/>
          <w:lang w:val="en-US" w:eastAsia="es-ES"/>
        </w:rPr>
        <w:t>t and Natural Resources Pro</w:t>
      </w:r>
      <w:r w:rsidRPr="007D24EB">
        <w:rPr>
          <w:rFonts w:eastAsia="Times New Roman"/>
          <w:bCs/>
          <w:kern w:val="18"/>
          <w:sz w:val="20"/>
          <w:szCs w:val="20"/>
          <w:lang w:val="en-US" w:eastAsia="es-ES"/>
        </w:rPr>
        <w:t>gram, John F. Kennedy School of Government, Harvard Universi</w:t>
      </w:r>
      <w:r>
        <w:rPr>
          <w:rFonts w:eastAsia="Times New Roman"/>
          <w:bCs/>
          <w:kern w:val="18"/>
          <w:sz w:val="20"/>
          <w:szCs w:val="20"/>
          <w:lang w:val="en-US" w:eastAsia="es-ES"/>
        </w:rPr>
        <w:t xml:space="preserve">ty, Cambridge, Massachusetts. </w:t>
      </w:r>
    </w:p>
    <w:p w14:paraId="3CBF5500" w14:textId="77777777" w:rsidR="00C37732" w:rsidRPr="004B1E4E" w:rsidRDefault="00C37732" w:rsidP="00C37732">
      <w:pPr>
        <w:spacing w:line="480" w:lineRule="auto"/>
        <w:ind w:left="720" w:hanging="720"/>
        <w:contextualSpacing/>
        <w:jc w:val="both"/>
        <w:rPr>
          <w:rFonts w:eastAsia="Times New Roman"/>
          <w:bCs/>
          <w:kern w:val="18"/>
          <w:sz w:val="20"/>
          <w:szCs w:val="20"/>
          <w:lang w:eastAsia="es-ES"/>
        </w:rPr>
      </w:pPr>
      <w:proofErr w:type="spellStart"/>
      <w:r w:rsidRPr="004B1E4E">
        <w:rPr>
          <w:rFonts w:eastAsia="Times New Roman"/>
          <w:bCs/>
          <w:kern w:val="18"/>
          <w:sz w:val="20"/>
          <w:szCs w:val="20"/>
          <w:lang w:val="en-GB" w:eastAsia="es-ES"/>
        </w:rPr>
        <w:t>Rashed</w:t>
      </w:r>
      <w:proofErr w:type="spellEnd"/>
      <w:r w:rsidRPr="004B1E4E">
        <w:rPr>
          <w:rFonts w:eastAsia="Times New Roman"/>
          <w:bCs/>
          <w:kern w:val="18"/>
          <w:sz w:val="20"/>
          <w:szCs w:val="20"/>
          <w:lang w:val="en-GB" w:eastAsia="es-ES"/>
        </w:rPr>
        <w:t xml:space="preserve">, T., &amp; Weeks, J. (2003): Assessing vulnerability to earthquake hazards through spatial </w:t>
      </w:r>
      <w:proofErr w:type="spellStart"/>
      <w:r w:rsidRPr="004B1E4E">
        <w:rPr>
          <w:rFonts w:eastAsia="Times New Roman"/>
          <w:bCs/>
          <w:kern w:val="18"/>
          <w:sz w:val="20"/>
          <w:szCs w:val="20"/>
          <w:lang w:val="en-GB" w:eastAsia="es-ES"/>
        </w:rPr>
        <w:t>multicriteria</w:t>
      </w:r>
      <w:proofErr w:type="spellEnd"/>
      <w:r w:rsidRPr="004B1E4E">
        <w:rPr>
          <w:rFonts w:eastAsia="Times New Roman"/>
          <w:bCs/>
          <w:kern w:val="18"/>
          <w:sz w:val="20"/>
          <w:szCs w:val="20"/>
          <w:lang w:val="en-GB" w:eastAsia="es-ES"/>
        </w:rPr>
        <w:t xml:space="preserve"> analysis of urban areas. </w:t>
      </w:r>
      <w:r w:rsidRPr="004B1E4E">
        <w:rPr>
          <w:rFonts w:eastAsia="Times New Roman"/>
          <w:bCs/>
          <w:i/>
          <w:kern w:val="18"/>
          <w:sz w:val="20"/>
          <w:szCs w:val="20"/>
          <w:lang w:eastAsia="es-ES"/>
        </w:rPr>
        <w:t xml:space="preserve">International </w:t>
      </w:r>
      <w:proofErr w:type="spellStart"/>
      <w:r w:rsidRPr="004B1E4E">
        <w:rPr>
          <w:rFonts w:eastAsia="Times New Roman"/>
          <w:bCs/>
          <w:i/>
          <w:kern w:val="18"/>
          <w:sz w:val="20"/>
          <w:szCs w:val="20"/>
          <w:lang w:eastAsia="es-ES"/>
        </w:rPr>
        <w:t>Journal</w:t>
      </w:r>
      <w:proofErr w:type="spellEnd"/>
      <w:r w:rsidRPr="004B1E4E">
        <w:rPr>
          <w:rFonts w:eastAsia="Times New Roman"/>
          <w:bCs/>
          <w:i/>
          <w:kern w:val="18"/>
          <w:sz w:val="20"/>
          <w:szCs w:val="20"/>
          <w:lang w:eastAsia="es-ES"/>
        </w:rPr>
        <w:t xml:space="preserve"> of </w:t>
      </w:r>
      <w:proofErr w:type="spellStart"/>
      <w:r w:rsidRPr="004B1E4E">
        <w:rPr>
          <w:rFonts w:eastAsia="Times New Roman"/>
          <w:bCs/>
          <w:i/>
          <w:kern w:val="18"/>
          <w:sz w:val="20"/>
          <w:szCs w:val="20"/>
          <w:lang w:eastAsia="es-ES"/>
        </w:rPr>
        <w:t>Geographical</w:t>
      </w:r>
      <w:proofErr w:type="spellEnd"/>
      <w:r w:rsidRPr="004B1E4E">
        <w:rPr>
          <w:rFonts w:eastAsia="Times New Roman"/>
          <w:bCs/>
          <w:i/>
          <w:kern w:val="18"/>
          <w:sz w:val="20"/>
          <w:szCs w:val="20"/>
          <w:lang w:eastAsia="es-ES"/>
        </w:rPr>
        <w:t xml:space="preserve"> </w:t>
      </w:r>
      <w:proofErr w:type="spellStart"/>
      <w:r w:rsidRPr="004B1E4E">
        <w:rPr>
          <w:rFonts w:eastAsia="Times New Roman"/>
          <w:bCs/>
          <w:i/>
          <w:kern w:val="18"/>
          <w:sz w:val="20"/>
          <w:szCs w:val="20"/>
          <w:lang w:eastAsia="es-ES"/>
        </w:rPr>
        <w:t>Information</w:t>
      </w:r>
      <w:proofErr w:type="spellEnd"/>
      <w:r w:rsidRPr="004B1E4E">
        <w:rPr>
          <w:rFonts w:eastAsia="Times New Roman"/>
          <w:bCs/>
          <w:i/>
          <w:kern w:val="18"/>
          <w:sz w:val="20"/>
          <w:szCs w:val="20"/>
          <w:lang w:eastAsia="es-ES"/>
        </w:rPr>
        <w:t xml:space="preserve"> </w:t>
      </w:r>
      <w:proofErr w:type="spellStart"/>
      <w:r w:rsidRPr="004B1E4E">
        <w:rPr>
          <w:rFonts w:eastAsia="Times New Roman"/>
          <w:bCs/>
          <w:i/>
          <w:kern w:val="18"/>
          <w:sz w:val="20"/>
          <w:szCs w:val="20"/>
          <w:lang w:eastAsia="es-ES"/>
        </w:rPr>
        <w:t>Science</w:t>
      </w:r>
      <w:proofErr w:type="spellEnd"/>
      <w:r w:rsidRPr="004B1E4E">
        <w:rPr>
          <w:rFonts w:eastAsia="Times New Roman"/>
          <w:bCs/>
          <w:kern w:val="18"/>
          <w:sz w:val="20"/>
          <w:szCs w:val="20"/>
          <w:lang w:eastAsia="es-ES"/>
        </w:rPr>
        <w:t>, 17(6), 547-576.</w:t>
      </w:r>
    </w:p>
    <w:p w14:paraId="132CA629" w14:textId="77777777" w:rsidR="00C37732" w:rsidRPr="00334C9A" w:rsidRDefault="00C37732" w:rsidP="00C37732">
      <w:pPr>
        <w:spacing w:line="480" w:lineRule="auto"/>
        <w:ind w:left="720" w:hanging="720"/>
        <w:contextualSpacing/>
        <w:jc w:val="both"/>
        <w:rPr>
          <w:rFonts w:eastAsia="Times New Roman"/>
          <w:bCs/>
          <w:kern w:val="18"/>
          <w:sz w:val="20"/>
          <w:szCs w:val="20"/>
          <w:lang w:eastAsia="es-ES"/>
        </w:rPr>
      </w:pPr>
      <w:r w:rsidRPr="00334C9A">
        <w:rPr>
          <w:sz w:val="20"/>
          <w:szCs w:val="20"/>
        </w:rPr>
        <w:t xml:space="preserve">Roig, </w:t>
      </w:r>
      <w:proofErr w:type="spellStart"/>
      <w:r w:rsidRPr="00334C9A">
        <w:rPr>
          <w:sz w:val="20"/>
          <w:szCs w:val="20"/>
        </w:rPr>
        <w:t>F</w:t>
      </w:r>
      <w:r>
        <w:rPr>
          <w:sz w:val="20"/>
          <w:szCs w:val="20"/>
        </w:rPr>
        <w:t>co</w:t>
      </w:r>
      <w:proofErr w:type="spellEnd"/>
      <w:r w:rsidRPr="00334C9A">
        <w:rPr>
          <w:sz w:val="20"/>
          <w:szCs w:val="20"/>
        </w:rPr>
        <w:t>., Prieto, J. A. M., Perea, A. R., Mir-Gual, M., y Pons, G. X. (2011):</w:t>
      </w:r>
      <w:r w:rsidRPr="00334C9A">
        <w:rPr>
          <w:b/>
          <w:sz w:val="20"/>
          <w:szCs w:val="20"/>
        </w:rPr>
        <w:t xml:space="preserve"> </w:t>
      </w:r>
      <w:r w:rsidRPr="00334C9A">
        <w:rPr>
          <w:sz w:val="20"/>
          <w:szCs w:val="20"/>
        </w:rPr>
        <w:t>La gestión ambiental de los sistemas playa-duna</w:t>
      </w:r>
      <w:r>
        <w:rPr>
          <w:sz w:val="20"/>
          <w:szCs w:val="20"/>
        </w:rPr>
        <w:t>: el caso de las Islas Baleares,</w:t>
      </w:r>
      <w:r w:rsidRPr="00334C9A">
        <w:rPr>
          <w:sz w:val="20"/>
          <w:szCs w:val="20"/>
        </w:rPr>
        <w:t xml:space="preserve"> En </w:t>
      </w:r>
      <w:proofErr w:type="spellStart"/>
      <w:r w:rsidRPr="00334C9A">
        <w:rPr>
          <w:sz w:val="20"/>
          <w:szCs w:val="20"/>
        </w:rPr>
        <w:t>Sanajume</w:t>
      </w:r>
      <w:proofErr w:type="spellEnd"/>
      <w:r w:rsidRPr="00334C9A">
        <w:rPr>
          <w:sz w:val="20"/>
          <w:szCs w:val="20"/>
        </w:rPr>
        <w:t>, E. y Gracia, F.J.</w:t>
      </w:r>
      <w:r>
        <w:rPr>
          <w:sz w:val="20"/>
          <w:szCs w:val="20"/>
        </w:rPr>
        <w:t xml:space="preserve"> (E</w:t>
      </w:r>
      <w:r w:rsidRPr="00334C9A">
        <w:rPr>
          <w:sz w:val="20"/>
          <w:szCs w:val="20"/>
        </w:rPr>
        <w:t xml:space="preserve">ds.): </w:t>
      </w:r>
      <w:r w:rsidRPr="00334C9A">
        <w:rPr>
          <w:i/>
          <w:sz w:val="20"/>
          <w:szCs w:val="20"/>
        </w:rPr>
        <w:t>Las dunas en España</w:t>
      </w:r>
      <w:r w:rsidRPr="00334C9A">
        <w:rPr>
          <w:sz w:val="20"/>
          <w:szCs w:val="20"/>
        </w:rPr>
        <w:t>. Cádiz, Ed. S</w:t>
      </w:r>
      <w:r>
        <w:rPr>
          <w:sz w:val="20"/>
          <w:szCs w:val="20"/>
        </w:rPr>
        <w:t>.E.G.</w:t>
      </w:r>
      <w:r w:rsidRPr="00334C9A">
        <w:rPr>
          <w:sz w:val="20"/>
          <w:szCs w:val="20"/>
        </w:rPr>
        <w:t xml:space="preserve"> 683-699</w:t>
      </w:r>
      <w:r>
        <w:rPr>
          <w:sz w:val="20"/>
          <w:szCs w:val="20"/>
        </w:rPr>
        <w:t>.</w:t>
      </w:r>
    </w:p>
    <w:p w14:paraId="32EF3F79" w14:textId="77777777" w:rsidR="00C37732" w:rsidRPr="004B1E4E" w:rsidRDefault="00C37732" w:rsidP="00C37732">
      <w:pPr>
        <w:spacing w:line="480" w:lineRule="auto"/>
        <w:ind w:left="720" w:hanging="720"/>
        <w:contextualSpacing/>
        <w:jc w:val="both"/>
        <w:rPr>
          <w:rFonts w:eastAsia="Times New Roman"/>
          <w:bCs/>
          <w:kern w:val="18"/>
          <w:sz w:val="20"/>
          <w:szCs w:val="20"/>
          <w:lang w:val="en-US" w:eastAsia="es-ES"/>
        </w:rPr>
      </w:pPr>
      <w:r w:rsidRPr="004B1E4E">
        <w:rPr>
          <w:rFonts w:eastAsia="Times New Roman"/>
          <w:bCs/>
          <w:kern w:val="18"/>
          <w:sz w:val="20"/>
          <w:szCs w:val="20"/>
          <w:lang w:eastAsia="es-ES"/>
        </w:rPr>
        <w:t xml:space="preserve">Ruiz Pérez, M. (2011): Vulnerabilidad territorial y evaluación de daños </w:t>
      </w:r>
      <w:proofErr w:type="spellStart"/>
      <w:r w:rsidRPr="004B1E4E">
        <w:rPr>
          <w:rFonts w:eastAsia="Times New Roman"/>
          <w:bCs/>
          <w:kern w:val="18"/>
          <w:sz w:val="20"/>
          <w:szCs w:val="20"/>
          <w:lang w:eastAsia="es-ES"/>
        </w:rPr>
        <w:t>postcatástrofe</w:t>
      </w:r>
      <w:proofErr w:type="spellEnd"/>
      <w:r w:rsidRPr="004B1E4E">
        <w:rPr>
          <w:rFonts w:eastAsia="Times New Roman"/>
          <w:bCs/>
          <w:kern w:val="18"/>
          <w:sz w:val="20"/>
          <w:szCs w:val="20"/>
          <w:lang w:eastAsia="es-ES"/>
        </w:rPr>
        <w:t xml:space="preserve">: una aproximación desde la geografía del riesgo. Tesis Doctoral dirigida por Gutiérrez Puebla, J y </w:t>
      </w:r>
      <w:proofErr w:type="spellStart"/>
      <w:r w:rsidRPr="004B1E4E">
        <w:rPr>
          <w:rFonts w:eastAsia="Times New Roman"/>
          <w:bCs/>
          <w:kern w:val="18"/>
          <w:sz w:val="20"/>
          <w:szCs w:val="20"/>
          <w:lang w:eastAsia="es-ES"/>
        </w:rPr>
        <w:t>Grimalt</w:t>
      </w:r>
      <w:proofErr w:type="spellEnd"/>
      <w:r w:rsidRPr="004B1E4E">
        <w:rPr>
          <w:rFonts w:eastAsia="Times New Roman"/>
          <w:bCs/>
          <w:kern w:val="18"/>
          <w:sz w:val="20"/>
          <w:szCs w:val="20"/>
          <w:lang w:eastAsia="es-ES"/>
        </w:rPr>
        <w:t xml:space="preserve"> </w:t>
      </w:r>
      <w:proofErr w:type="spellStart"/>
      <w:r w:rsidRPr="004B1E4E">
        <w:rPr>
          <w:rFonts w:eastAsia="Times New Roman"/>
          <w:bCs/>
          <w:kern w:val="18"/>
          <w:sz w:val="20"/>
          <w:szCs w:val="20"/>
          <w:lang w:eastAsia="es-ES"/>
        </w:rPr>
        <w:t>Gelabert</w:t>
      </w:r>
      <w:proofErr w:type="spellEnd"/>
      <w:r w:rsidRPr="004B1E4E">
        <w:rPr>
          <w:rFonts w:eastAsia="Times New Roman"/>
          <w:bCs/>
          <w:kern w:val="18"/>
          <w:sz w:val="20"/>
          <w:szCs w:val="20"/>
          <w:lang w:eastAsia="es-ES"/>
        </w:rPr>
        <w:t xml:space="preserve">, M. Madrid, Universidad Complutense, Repositorio. </w:t>
      </w:r>
      <w:r w:rsidRPr="004B1E4E">
        <w:rPr>
          <w:rFonts w:eastAsia="Times New Roman"/>
          <w:bCs/>
          <w:kern w:val="18"/>
          <w:sz w:val="20"/>
          <w:szCs w:val="20"/>
          <w:lang w:val="en-US" w:eastAsia="es-ES"/>
        </w:rPr>
        <w:t>&lt;</w:t>
      </w:r>
      <w:r w:rsidRPr="004B1E4E">
        <w:rPr>
          <w:sz w:val="20"/>
          <w:szCs w:val="20"/>
          <w:lang w:val="en-US"/>
        </w:rPr>
        <w:t xml:space="preserve"> </w:t>
      </w:r>
      <w:r w:rsidRPr="004B1E4E">
        <w:rPr>
          <w:rFonts w:eastAsia="Times New Roman"/>
          <w:bCs/>
          <w:kern w:val="18"/>
          <w:sz w:val="20"/>
          <w:szCs w:val="20"/>
          <w:lang w:val="en-US" w:eastAsia="es-ES"/>
        </w:rPr>
        <w:t>https://eprints.ucm.es/12850/&gt; (</w:t>
      </w:r>
      <w:proofErr w:type="spellStart"/>
      <w:r w:rsidRPr="004B1E4E">
        <w:rPr>
          <w:rFonts w:eastAsia="Times New Roman"/>
          <w:bCs/>
          <w:kern w:val="18"/>
          <w:sz w:val="20"/>
          <w:szCs w:val="20"/>
          <w:lang w:val="en-US" w:eastAsia="es-ES"/>
        </w:rPr>
        <w:t>consulta</w:t>
      </w:r>
      <w:proofErr w:type="spellEnd"/>
      <w:r w:rsidRPr="004B1E4E">
        <w:rPr>
          <w:rFonts w:eastAsia="Times New Roman"/>
          <w:bCs/>
          <w:kern w:val="18"/>
          <w:sz w:val="20"/>
          <w:szCs w:val="20"/>
          <w:lang w:val="en-US" w:eastAsia="es-ES"/>
        </w:rPr>
        <w:t xml:space="preserve">: </w:t>
      </w:r>
      <w:r>
        <w:rPr>
          <w:rFonts w:eastAsia="Times New Roman"/>
          <w:bCs/>
          <w:kern w:val="18"/>
          <w:sz w:val="20"/>
          <w:szCs w:val="20"/>
          <w:lang w:val="en-US" w:eastAsia="es-ES"/>
        </w:rPr>
        <w:t>2</w:t>
      </w:r>
      <w:r w:rsidRPr="004B1E4E">
        <w:rPr>
          <w:rFonts w:eastAsia="Times New Roman"/>
          <w:bCs/>
          <w:kern w:val="18"/>
          <w:sz w:val="20"/>
          <w:szCs w:val="20"/>
          <w:lang w:val="en-US" w:eastAsia="es-ES"/>
        </w:rPr>
        <w:t>0/</w:t>
      </w:r>
      <w:r>
        <w:rPr>
          <w:rFonts w:eastAsia="Times New Roman"/>
          <w:bCs/>
          <w:kern w:val="18"/>
          <w:sz w:val="20"/>
          <w:szCs w:val="20"/>
          <w:lang w:val="en-US" w:eastAsia="es-ES"/>
        </w:rPr>
        <w:t>01/2020</w:t>
      </w:r>
      <w:r w:rsidRPr="004B1E4E">
        <w:rPr>
          <w:rFonts w:eastAsia="Times New Roman"/>
          <w:bCs/>
          <w:kern w:val="18"/>
          <w:sz w:val="20"/>
          <w:szCs w:val="20"/>
          <w:lang w:val="en-US" w:eastAsia="es-ES"/>
        </w:rPr>
        <w:t>).</w:t>
      </w:r>
    </w:p>
    <w:p w14:paraId="1F62D0DD" w14:textId="77777777" w:rsidR="00C37732" w:rsidRPr="004B1E4E" w:rsidRDefault="00C37732" w:rsidP="00C37732">
      <w:pPr>
        <w:spacing w:line="480" w:lineRule="auto"/>
        <w:ind w:left="720" w:hanging="720"/>
        <w:contextualSpacing/>
        <w:jc w:val="both"/>
        <w:rPr>
          <w:rFonts w:eastAsia="Times New Roman"/>
          <w:bCs/>
          <w:kern w:val="18"/>
          <w:sz w:val="20"/>
          <w:szCs w:val="20"/>
          <w:lang w:val="en-GB" w:eastAsia="es-ES"/>
        </w:rPr>
      </w:pPr>
      <w:proofErr w:type="spellStart"/>
      <w:r w:rsidRPr="004B1E4E">
        <w:rPr>
          <w:rFonts w:eastAsia="Times New Roman"/>
          <w:bCs/>
          <w:kern w:val="18"/>
          <w:sz w:val="20"/>
          <w:szCs w:val="20"/>
          <w:lang w:val="en-US" w:eastAsia="es-ES"/>
        </w:rPr>
        <w:t>Schröter</w:t>
      </w:r>
      <w:proofErr w:type="spellEnd"/>
      <w:r w:rsidRPr="004B1E4E">
        <w:rPr>
          <w:rFonts w:eastAsia="Times New Roman"/>
          <w:bCs/>
          <w:kern w:val="18"/>
          <w:sz w:val="20"/>
          <w:szCs w:val="20"/>
          <w:lang w:val="en-US" w:eastAsia="es-ES"/>
        </w:rPr>
        <w:t xml:space="preserve">, D., </w:t>
      </w:r>
      <w:proofErr w:type="spellStart"/>
      <w:r w:rsidRPr="004B1E4E">
        <w:rPr>
          <w:rFonts w:eastAsia="Times New Roman"/>
          <w:bCs/>
          <w:kern w:val="18"/>
          <w:sz w:val="20"/>
          <w:szCs w:val="20"/>
          <w:lang w:val="en-US" w:eastAsia="es-ES"/>
        </w:rPr>
        <w:t>Polsky</w:t>
      </w:r>
      <w:proofErr w:type="spellEnd"/>
      <w:r w:rsidRPr="004B1E4E">
        <w:rPr>
          <w:rFonts w:eastAsia="Times New Roman"/>
          <w:bCs/>
          <w:kern w:val="18"/>
          <w:sz w:val="20"/>
          <w:szCs w:val="20"/>
          <w:lang w:val="en-US" w:eastAsia="es-ES"/>
        </w:rPr>
        <w:t xml:space="preserve">, C. &amp; </w:t>
      </w:r>
      <w:proofErr w:type="spellStart"/>
      <w:r w:rsidRPr="004B1E4E">
        <w:rPr>
          <w:rFonts w:eastAsia="Times New Roman"/>
          <w:bCs/>
          <w:kern w:val="18"/>
          <w:sz w:val="20"/>
          <w:szCs w:val="20"/>
          <w:lang w:val="en-US" w:eastAsia="es-ES"/>
        </w:rPr>
        <w:t>Patt</w:t>
      </w:r>
      <w:proofErr w:type="spellEnd"/>
      <w:r w:rsidRPr="004B1E4E">
        <w:rPr>
          <w:rFonts w:eastAsia="Times New Roman"/>
          <w:bCs/>
          <w:kern w:val="18"/>
          <w:sz w:val="20"/>
          <w:szCs w:val="20"/>
          <w:lang w:val="en-US" w:eastAsia="es-ES"/>
        </w:rPr>
        <w:t xml:space="preserve">, A. G. (2005): Assessing vulnerabilities to the effects of global change: an </w:t>
      </w:r>
      <w:proofErr w:type="gramStart"/>
      <w:r w:rsidRPr="004B1E4E">
        <w:rPr>
          <w:rFonts w:eastAsia="Times New Roman"/>
          <w:bCs/>
          <w:kern w:val="18"/>
          <w:sz w:val="20"/>
          <w:szCs w:val="20"/>
          <w:lang w:val="en-US" w:eastAsia="es-ES"/>
        </w:rPr>
        <w:t>eight step</w:t>
      </w:r>
      <w:proofErr w:type="gramEnd"/>
      <w:r w:rsidRPr="004B1E4E">
        <w:rPr>
          <w:rFonts w:eastAsia="Times New Roman"/>
          <w:bCs/>
          <w:kern w:val="18"/>
          <w:sz w:val="20"/>
          <w:szCs w:val="20"/>
          <w:lang w:val="en-US" w:eastAsia="es-ES"/>
        </w:rPr>
        <w:t xml:space="preserve"> </w:t>
      </w:r>
      <w:proofErr w:type="spellStart"/>
      <w:r w:rsidRPr="004B1E4E">
        <w:rPr>
          <w:rFonts w:eastAsia="Times New Roman"/>
          <w:bCs/>
          <w:kern w:val="18"/>
          <w:sz w:val="20"/>
          <w:szCs w:val="20"/>
          <w:lang w:val="en-US" w:eastAsia="es-ES"/>
        </w:rPr>
        <w:t>appro</w:t>
      </w:r>
      <w:proofErr w:type="spellEnd"/>
      <w:r w:rsidRPr="004B1E4E">
        <w:rPr>
          <w:rFonts w:eastAsia="Times New Roman"/>
          <w:bCs/>
          <w:kern w:val="18"/>
          <w:sz w:val="20"/>
          <w:szCs w:val="20"/>
          <w:lang w:val="en-GB" w:eastAsia="es-ES"/>
        </w:rPr>
        <w:t>ach</w:t>
      </w:r>
      <w:r>
        <w:rPr>
          <w:rStyle w:val="st1"/>
          <w:color w:val="000000"/>
          <w:sz w:val="20"/>
          <w:szCs w:val="20"/>
          <w:lang w:val="en-US"/>
        </w:rPr>
        <w:t>.</w:t>
      </w:r>
      <w:r w:rsidRPr="004B1E4E">
        <w:rPr>
          <w:rFonts w:eastAsia="Times New Roman"/>
          <w:bCs/>
          <w:kern w:val="18"/>
          <w:sz w:val="20"/>
          <w:szCs w:val="20"/>
          <w:lang w:val="en-GB" w:eastAsia="es-ES"/>
        </w:rPr>
        <w:t xml:space="preserve"> </w:t>
      </w:r>
      <w:r w:rsidRPr="004B1E4E">
        <w:rPr>
          <w:rFonts w:eastAsia="Times New Roman"/>
          <w:bCs/>
          <w:i/>
          <w:kern w:val="18"/>
          <w:sz w:val="20"/>
          <w:szCs w:val="20"/>
          <w:lang w:val="en-GB" w:eastAsia="es-ES"/>
        </w:rPr>
        <w:t>Mitigation and Adaptation Strategies for Global Change</w:t>
      </w:r>
      <w:r w:rsidRPr="004B1E4E">
        <w:rPr>
          <w:rFonts w:eastAsia="Times New Roman"/>
          <w:bCs/>
          <w:kern w:val="18"/>
          <w:sz w:val="20"/>
          <w:szCs w:val="20"/>
          <w:lang w:val="en-GB" w:eastAsia="es-ES"/>
        </w:rPr>
        <w:t>, 10(4), 573-595.</w:t>
      </w:r>
    </w:p>
    <w:p w14:paraId="5EF74F7D" w14:textId="60F83632" w:rsidR="00EB3DA1" w:rsidRPr="003B33D8" w:rsidRDefault="00C37732" w:rsidP="001A3E72">
      <w:pPr>
        <w:spacing w:line="480" w:lineRule="auto"/>
        <w:ind w:left="720" w:hanging="720"/>
        <w:contextualSpacing/>
        <w:jc w:val="both"/>
      </w:pPr>
      <w:proofErr w:type="spellStart"/>
      <w:r w:rsidRPr="004B1E4E">
        <w:rPr>
          <w:rFonts w:eastAsia="Times New Roman"/>
          <w:bCs/>
          <w:kern w:val="18"/>
          <w:sz w:val="20"/>
          <w:szCs w:val="20"/>
          <w:lang w:val="en-GB" w:eastAsia="es-ES"/>
        </w:rPr>
        <w:t>Undro</w:t>
      </w:r>
      <w:proofErr w:type="spellEnd"/>
      <w:r w:rsidRPr="004B1E4E">
        <w:rPr>
          <w:rFonts w:eastAsia="Times New Roman"/>
          <w:bCs/>
          <w:kern w:val="18"/>
          <w:sz w:val="20"/>
          <w:szCs w:val="20"/>
          <w:lang w:val="en-GB" w:eastAsia="es-ES"/>
        </w:rPr>
        <w:t xml:space="preserve"> (1991): </w:t>
      </w:r>
      <w:r w:rsidRPr="004B1E4E">
        <w:rPr>
          <w:rFonts w:eastAsia="Times New Roman"/>
          <w:bCs/>
          <w:i/>
          <w:kern w:val="18"/>
          <w:sz w:val="20"/>
          <w:szCs w:val="20"/>
          <w:lang w:val="en-GB" w:eastAsia="es-ES"/>
        </w:rPr>
        <w:t>Mitigating natural disasters: Phenomena, effects and options: A manual for policy makers and planners</w:t>
      </w:r>
      <w:r w:rsidRPr="004B1E4E">
        <w:rPr>
          <w:rFonts w:eastAsia="Times New Roman"/>
          <w:bCs/>
          <w:kern w:val="18"/>
          <w:sz w:val="20"/>
          <w:szCs w:val="20"/>
          <w:lang w:val="en-GB" w:eastAsia="es-ES"/>
        </w:rPr>
        <w:t xml:space="preserve">. UN. Office of the Disaster Relief Co-Ordinator. Nueva York, US. </w:t>
      </w:r>
    </w:p>
    <w:sectPr w:rsidR="00EB3DA1" w:rsidRPr="003B33D8" w:rsidSect="00277B5D">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4DBB5" w14:textId="77777777" w:rsidR="00661B8D" w:rsidRDefault="00661B8D" w:rsidP="00E3215E">
      <w:pPr>
        <w:spacing w:line="240" w:lineRule="auto"/>
      </w:pPr>
      <w:r>
        <w:separator/>
      </w:r>
    </w:p>
  </w:endnote>
  <w:endnote w:type="continuationSeparator" w:id="0">
    <w:p w14:paraId="4DFC19C7" w14:textId="77777777" w:rsidR="00661B8D" w:rsidRDefault="00661B8D" w:rsidP="00E32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635706"/>
      <w:docPartObj>
        <w:docPartGallery w:val="Page Numbers (Bottom of Page)"/>
        <w:docPartUnique/>
      </w:docPartObj>
    </w:sdtPr>
    <w:sdtContent>
      <w:p w14:paraId="787C93D5" w14:textId="6F73284B" w:rsidR="00C37732" w:rsidRDefault="00C37732">
        <w:pPr>
          <w:pStyle w:val="Piedepgina"/>
          <w:jc w:val="center"/>
        </w:pPr>
        <w:r>
          <w:fldChar w:fldCharType="begin"/>
        </w:r>
        <w:r>
          <w:instrText>PAGE   \* MERGEFORMAT</w:instrText>
        </w:r>
        <w:r>
          <w:fldChar w:fldCharType="separate"/>
        </w:r>
        <w:r w:rsidR="00A151A8">
          <w:rPr>
            <w:noProof/>
          </w:rPr>
          <w:t>1</w:t>
        </w:r>
        <w:r>
          <w:fldChar w:fldCharType="end"/>
        </w:r>
      </w:p>
    </w:sdtContent>
  </w:sdt>
  <w:p w14:paraId="18A8A9E5" w14:textId="77777777" w:rsidR="00C37732" w:rsidRDefault="00C3773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A0C8F" w14:textId="77777777" w:rsidR="00661B8D" w:rsidRDefault="00661B8D" w:rsidP="00E3215E">
      <w:pPr>
        <w:spacing w:line="240" w:lineRule="auto"/>
      </w:pPr>
      <w:r>
        <w:separator/>
      </w:r>
    </w:p>
  </w:footnote>
  <w:footnote w:type="continuationSeparator" w:id="0">
    <w:p w14:paraId="6FE3B8BB" w14:textId="77777777" w:rsidR="00661B8D" w:rsidRDefault="00661B8D" w:rsidP="00E3215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075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376CDB"/>
    <w:multiLevelType w:val="hybridMultilevel"/>
    <w:tmpl w:val="9E34DF98"/>
    <w:lvl w:ilvl="0" w:tplc="2E8AAD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A87ABD"/>
    <w:multiLevelType w:val="hybridMultilevel"/>
    <w:tmpl w:val="A22C0C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6878FE"/>
    <w:multiLevelType w:val="hybridMultilevel"/>
    <w:tmpl w:val="1412343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219576D7"/>
    <w:multiLevelType w:val="hybridMultilevel"/>
    <w:tmpl w:val="AFCA51E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23842CF5"/>
    <w:multiLevelType w:val="hybridMultilevel"/>
    <w:tmpl w:val="A072B370"/>
    <w:lvl w:ilvl="0" w:tplc="AB80E98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4C592D"/>
    <w:multiLevelType w:val="hybridMultilevel"/>
    <w:tmpl w:val="B07C39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E9A0A0C"/>
    <w:multiLevelType w:val="hybridMultilevel"/>
    <w:tmpl w:val="1EA88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B156E7"/>
    <w:multiLevelType w:val="hybridMultilevel"/>
    <w:tmpl w:val="5E428740"/>
    <w:lvl w:ilvl="0" w:tplc="AB80E98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0523EDC"/>
    <w:multiLevelType w:val="multilevel"/>
    <w:tmpl w:val="71D8D060"/>
    <w:lvl w:ilvl="0">
      <w:start w:val="1"/>
      <w:numFmt w:val="decimal"/>
      <w:lvlText w:val="%1."/>
      <w:lvlJc w:val="left"/>
      <w:pPr>
        <w:ind w:left="360" w:hanging="360"/>
      </w:pPr>
      <w:rPr>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4F787098"/>
    <w:multiLevelType w:val="hybridMultilevel"/>
    <w:tmpl w:val="ADC264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957A40"/>
    <w:multiLevelType w:val="hybridMultilevel"/>
    <w:tmpl w:val="29BEA9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5A07C6A"/>
    <w:multiLevelType w:val="hybridMultilevel"/>
    <w:tmpl w:val="7BAABA3A"/>
    <w:lvl w:ilvl="0" w:tplc="0C0A0001">
      <w:start w:val="1"/>
      <w:numFmt w:val="bullet"/>
      <w:lvlText w:val=""/>
      <w:lvlJc w:val="left"/>
      <w:pPr>
        <w:ind w:left="1288" w:hanging="360"/>
      </w:pPr>
      <w:rPr>
        <w:rFonts w:ascii="Symbol" w:hAnsi="Symbol"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13">
    <w:nsid w:val="678C2410"/>
    <w:multiLevelType w:val="hybridMultilevel"/>
    <w:tmpl w:val="47E8FB3C"/>
    <w:lvl w:ilvl="0" w:tplc="2E8AAD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0EE257D"/>
    <w:multiLevelType w:val="hybridMultilevel"/>
    <w:tmpl w:val="C382C82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ABD02BD"/>
    <w:multiLevelType w:val="hybridMultilevel"/>
    <w:tmpl w:val="887C6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6"/>
  </w:num>
  <w:num w:numId="5">
    <w:abstractNumId w:val="7"/>
  </w:num>
  <w:num w:numId="6">
    <w:abstractNumId w:val="15"/>
  </w:num>
  <w:num w:numId="7">
    <w:abstractNumId w:val="10"/>
  </w:num>
  <w:num w:numId="8">
    <w:abstractNumId w:val="1"/>
  </w:num>
  <w:num w:numId="9">
    <w:abstractNumId w:val="13"/>
  </w:num>
  <w:num w:numId="10">
    <w:abstractNumId w:val="9"/>
  </w:num>
  <w:num w:numId="11">
    <w:abstractNumId w:val="5"/>
  </w:num>
  <w:num w:numId="12">
    <w:abstractNumId w:val="2"/>
  </w:num>
  <w:num w:numId="13">
    <w:abstractNumId w:val="11"/>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5E"/>
    <w:rsid w:val="000B7403"/>
    <w:rsid w:val="00115252"/>
    <w:rsid w:val="00134A50"/>
    <w:rsid w:val="001A3E72"/>
    <w:rsid w:val="001B0327"/>
    <w:rsid w:val="002417CD"/>
    <w:rsid w:val="00254460"/>
    <w:rsid w:val="0026750D"/>
    <w:rsid w:val="00277B5D"/>
    <w:rsid w:val="002A09B2"/>
    <w:rsid w:val="002B674F"/>
    <w:rsid w:val="002E3556"/>
    <w:rsid w:val="002E52E1"/>
    <w:rsid w:val="00340CD1"/>
    <w:rsid w:val="003735F7"/>
    <w:rsid w:val="0038507E"/>
    <w:rsid w:val="0038727C"/>
    <w:rsid w:val="003B33D8"/>
    <w:rsid w:val="003C7A74"/>
    <w:rsid w:val="004020A8"/>
    <w:rsid w:val="004E38E1"/>
    <w:rsid w:val="004F044C"/>
    <w:rsid w:val="00661B8D"/>
    <w:rsid w:val="00694757"/>
    <w:rsid w:val="006E045C"/>
    <w:rsid w:val="00754B0E"/>
    <w:rsid w:val="007E6289"/>
    <w:rsid w:val="00816DB0"/>
    <w:rsid w:val="008A13B5"/>
    <w:rsid w:val="008B5149"/>
    <w:rsid w:val="009C6C5D"/>
    <w:rsid w:val="009C7F44"/>
    <w:rsid w:val="00A151A8"/>
    <w:rsid w:val="00A23AE8"/>
    <w:rsid w:val="00A26171"/>
    <w:rsid w:val="00AC6723"/>
    <w:rsid w:val="00AE1ADB"/>
    <w:rsid w:val="00C0300E"/>
    <w:rsid w:val="00C22EBF"/>
    <w:rsid w:val="00C37732"/>
    <w:rsid w:val="00C41EAA"/>
    <w:rsid w:val="00C600E5"/>
    <w:rsid w:val="00C76642"/>
    <w:rsid w:val="00CA6E6D"/>
    <w:rsid w:val="00CD0037"/>
    <w:rsid w:val="00CE3047"/>
    <w:rsid w:val="00D2083F"/>
    <w:rsid w:val="00D77609"/>
    <w:rsid w:val="00E0051D"/>
    <w:rsid w:val="00E3215E"/>
    <w:rsid w:val="00E34F47"/>
    <w:rsid w:val="00EB3DA1"/>
    <w:rsid w:val="00EF014B"/>
    <w:rsid w:val="00F32215"/>
    <w:rsid w:val="00F82537"/>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F19B6"/>
  <w15:chartTrackingRefBased/>
  <w15:docId w15:val="{2BF0C0A1-68F2-4EF1-8645-01C54B52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2EBF"/>
    <w:pPr>
      <w:spacing w:after="0" w:line="360" w:lineRule="auto"/>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215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3215E"/>
  </w:style>
  <w:style w:type="paragraph" w:styleId="Piedepgina">
    <w:name w:val="footer"/>
    <w:basedOn w:val="Normal"/>
    <w:link w:val="PiedepginaCar"/>
    <w:uiPriority w:val="99"/>
    <w:unhideWhenUsed/>
    <w:rsid w:val="00E3215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3215E"/>
  </w:style>
  <w:style w:type="paragraph" w:styleId="Prrafodelista">
    <w:name w:val="List Paragraph"/>
    <w:basedOn w:val="Normal"/>
    <w:uiPriority w:val="34"/>
    <w:qFormat/>
    <w:rsid w:val="009C6C5D"/>
    <w:pPr>
      <w:ind w:left="720"/>
      <w:contextualSpacing/>
    </w:pPr>
  </w:style>
  <w:style w:type="paragraph" w:customStyle="1" w:styleId="Cuerpodeltexto">
    <w:name w:val="Cuerpo del texto"/>
    <w:basedOn w:val="Normal"/>
    <w:link w:val="CuerpodeltextoCar"/>
    <w:qFormat/>
    <w:rsid w:val="00C22EBF"/>
    <w:pPr>
      <w:ind w:firstLine="357"/>
      <w:jc w:val="both"/>
    </w:pPr>
    <w:rPr>
      <w:rFonts w:cs="Times New Roman"/>
    </w:rPr>
  </w:style>
  <w:style w:type="character" w:customStyle="1" w:styleId="CuerpodeltextoCar">
    <w:name w:val="Cuerpo del texto Car"/>
    <w:basedOn w:val="Fuentedeprrafopredeter"/>
    <w:link w:val="Cuerpodeltexto"/>
    <w:rsid w:val="00C22EBF"/>
    <w:rPr>
      <w:rFonts w:ascii="Times New Roman" w:hAnsi="Times New Roman" w:cs="Times New Roman"/>
    </w:rPr>
  </w:style>
  <w:style w:type="paragraph" w:customStyle="1" w:styleId="Ttuloprincipal">
    <w:name w:val="Título principal"/>
    <w:basedOn w:val="Normal"/>
    <w:link w:val="TtuloprincipalCar"/>
    <w:qFormat/>
    <w:rsid w:val="003B33D8"/>
    <w:pPr>
      <w:jc w:val="center"/>
    </w:pPr>
    <w:rPr>
      <w:rFonts w:cs="Times New Roman"/>
      <w:sz w:val="32"/>
    </w:rPr>
  </w:style>
  <w:style w:type="character" w:customStyle="1" w:styleId="TtuloprincipalCar">
    <w:name w:val="Título principal Car"/>
    <w:basedOn w:val="Fuentedeprrafopredeter"/>
    <w:link w:val="Ttuloprincipal"/>
    <w:rsid w:val="003B33D8"/>
    <w:rPr>
      <w:rFonts w:ascii="Times New Roman" w:hAnsi="Times New Roman" w:cs="Times New Roman"/>
      <w:sz w:val="32"/>
    </w:rPr>
  </w:style>
  <w:style w:type="paragraph" w:customStyle="1" w:styleId="EtiquetaResumenkeywords">
    <w:name w:val="Etiqueta Resumen/keywords"/>
    <w:basedOn w:val="Normal"/>
    <w:link w:val="EtiquetaResumenkeywordsCar"/>
    <w:qFormat/>
    <w:rsid w:val="00C22EBF"/>
    <w:pPr>
      <w:jc w:val="both"/>
    </w:pPr>
    <w:rPr>
      <w:rFonts w:cs="Times New Roman"/>
      <w:b/>
      <w:sz w:val="24"/>
      <w:szCs w:val="26"/>
    </w:rPr>
  </w:style>
  <w:style w:type="character" w:customStyle="1" w:styleId="EtiquetaResumenkeywordsCar">
    <w:name w:val="Etiqueta Resumen/keywords Car"/>
    <w:basedOn w:val="Fuentedeprrafopredeter"/>
    <w:link w:val="EtiquetaResumenkeywords"/>
    <w:rsid w:val="00C22EBF"/>
    <w:rPr>
      <w:rFonts w:ascii="Times New Roman" w:hAnsi="Times New Roman" w:cs="Times New Roman"/>
      <w:b/>
      <w:sz w:val="24"/>
      <w:szCs w:val="26"/>
    </w:rPr>
  </w:style>
  <w:style w:type="paragraph" w:customStyle="1" w:styleId="Ttulo1rnivel">
    <w:name w:val="Título 1r nivel"/>
    <w:basedOn w:val="Normal"/>
    <w:link w:val="Ttulo1rnivelCar"/>
    <w:qFormat/>
    <w:rsid w:val="003B33D8"/>
    <w:pPr>
      <w:jc w:val="both"/>
    </w:pPr>
    <w:rPr>
      <w:rFonts w:cs="Times New Roman"/>
      <w:b/>
      <w:sz w:val="24"/>
    </w:rPr>
  </w:style>
  <w:style w:type="character" w:customStyle="1" w:styleId="Ttulo1rnivelCar">
    <w:name w:val="Título 1r nivel Car"/>
    <w:basedOn w:val="Fuentedeprrafopredeter"/>
    <w:link w:val="Ttulo1rnivel"/>
    <w:rsid w:val="003B33D8"/>
    <w:rPr>
      <w:rFonts w:ascii="Times New Roman" w:hAnsi="Times New Roman" w:cs="Times New Roman"/>
      <w:b/>
      <w:sz w:val="24"/>
    </w:rPr>
  </w:style>
  <w:style w:type="paragraph" w:customStyle="1" w:styleId="Ttulo2onivel">
    <w:name w:val="Título 2o nivel"/>
    <w:basedOn w:val="Normal"/>
    <w:link w:val="Ttulo2onivelCar"/>
    <w:qFormat/>
    <w:rsid w:val="003B33D8"/>
    <w:pPr>
      <w:jc w:val="both"/>
    </w:pPr>
    <w:rPr>
      <w:rFonts w:cs="Times New Roman"/>
      <w:b/>
    </w:rPr>
  </w:style>
  <w:style w:type="character" w:customStyle="1" w:styleId="Ttulo2onivelCar">
    <w:name w:val="Título 2o nivel Car"/>
    <w:basedOn w:val="Fuentedeprrafopredeter"/>
    <w:link w:val="Ttulo2onivel"/>
    <w:rsid w:val="003B33D8"/>
    <w:rPr>
      <w:rFonts w:ascii="Times New Roman" w:hAnsi="Times New Roman" w:cs="Times New Roman"/>
      <w:b/>
    </w:rPr>
  </w:style>
  <w:style w:type="paragraph" w:customStyle="1" w:styleId="Ttulo3rnivel">
    <w:name w:val="Título 3r nivel"/>
    <w:basedOn w:val="Normal"/>
    <w:link w:val="Ttulo3rnivelCar"/>
    <w:qFormat/>
    <w:rsid w:val="003B33D8"/>
    <w:pPr>
      <w:jc w:val="both"/>
    </w:pPr>
    <w:rPr>
      <w:rFonts w:cs="Times New Roman"/>
      <w:i/>
    </w:rPr>
  </w:style>
  <w:style w:type="character" w:customStyle="1" w:styleId="Ttulo3rnivelCar">
    <w:name w:val="Título 3r nivel Car"/>
    <w:basedOn w:val="Fuentedeprrafopredeter"/>
    <w:link w:val="Ttulo3rnivel"/>
    <w:rsid w:val="003B33D8"/>
    <w:rPr>
      <w:rFonts w:ascii="Times New Roman" w:hAnsi="Times New Roman" w:cs="Times New Roman"/>
      <w:i/>
    </w:rPr>
  </w:style>
  <w:style w:type="paragraph" w:styleId="Textonotapie">
    <w:name w:val="footnote text"/>
    <w:basedOn w:val="Normal"/>
    <w:link w:val="TextonotapieCar"/>
    <w:uiPriority w:val="99"/>
    <w:semiHidden/>
    <w:unhideWhenUsed/>
    <w:rsid w:val="009C7F44"/>
    <w:pPr>
      <w:spacing w:line="240" w:lineRule="auto"/>
    </w:pPr>
    <w:rPr>
      <w:sz w:val="20"/>
      <w:szCs w:val="20"/>
    </w:rPr>
  </w:style>
  <w:style w:type="character" w:customStyle="1" w:styleId="TextonotapieCar">
    <w:name w:val="Texto nota pie Car"/>
    <w:basedOn w:val="Fuentedeprrafopredeter"/>
    <w:link w:val="Textonotapie"/>
    <w:uiPriority w:val="99"/>
    <w:semiHidden/>
    <w:rsid w:val="009C7F44"/>
    <w:rPr>
      <w:sz w:val="20"/>
      <w:szCs w:val="20"/>
    </w:rPr>
  </w:style>
  <w:style w:type="character" w:styleId="Refdenotaalpie">
    <w:name w:val="footnote reference"/>
    <w:basedOn w:val="Fuentedeprrafopredeter"/>
    <w:uiPriority w:val="99"/>
    <w:semiHidden/>
    <w:unhideWhenUsed/>
    <w:rsid w:val="009C7F44"/>
    <w:rPr>
      <w:vertAlign w:val="superscript"/>
    </w:rPr>
  </w:style>
  <w:style w:type="paragraph" w:customStyle="1" w:styleId="Pie">
    <w:name w:val="Pie"/>
    <w:basedOn w:val="Textonotapie"/>
    <w:link w:val="PieCar"/>
    <w:qFormat/>
    <w:rsid w:val="009C7F44"/>
    <w:rPr>
      <w:rFonts w:cs="Times New Roman"/>
      <w:sz w:val="18"/>
    </w:rPr>
  </w:style>
  <w:style w:type="character" w:customStyle="1" w:styleId="PieCar">
    <w:name w:val="Pie Car"/>
    <w:basedOn w:val="TextonotapieCar"/>
    <w:link w:val="Pie"/>
    <w:rsid w:val="009C7F44"/>
    <w:rPr>
      <w:rFonts w:ascii="Times New Roman" w:hAnsi="Times New Roman" w:cs="Times New Roman"/>
      <w:sz w:val="18"/>
      <w:szCs w:val="20"/>
    </w:rPr>
  </w:style>
  <w:style w:type="paragraph" w:customStyle="1" w:styleId="Citalarga">
    <w:name w:val="Cita larga"/>
    <w:basedOn w:val="Cuerpodeltexto"/>
    <w:link w:val="CitalargaCar"/>
    <w:qFormat/>
    <w:rsid w:val="00E34F47"/>
    <w:pPr>
      <w:ind w:left="709" w:firstLine="0"/>
    </w:pPr>
    <w:rPr>
      <w:i/>
      <w:sz w:val="20"/>
    </w:rPr>
  </w:style>
  <w:style w:type="character" w:customStyle="1" w:styleId="CitalargaCar">
    <w:name w:val="Cita larga Car"/>
    <w:basedOn w:val="CuerpodeltextoCar"/>
    <w:link w:val="Citalarga"/>
    <w:rsid w:val="00E34F47"/>
    <w:rPr>
      <w:rFonts w:ascii="Times New Roman" w:hAnsi="Times New Roman" w:cs="Times New Roman"/>
      <w:i/>
      <w:sz w:val="20"/>
    </w:rPr>
  </w:style>
  <w:style w:type="table" w:styleId="Tablaconcuadrcula">
    <w:name w:val="Table Grid"/>
    <w:basedOn w:val="Tablanormal"/>
    <w:uiPriority w:val="39"/>
    <w:rsid w:val="00CE3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yenda">
    <w:name w:val="Leyenda"/>
    <w:basedOn w:val="Cuerpodeltexto"/>
    <w:link w:val="LeyendaChar"/>
    <w:qFormat/>
    <w:rsid w:val="00CE3047"/>
    <w:pPr>
      <w:spacing w:before="120"/>
      <w:ind w:firstLine="0"/>
      <w:jc w:val="center"/>
    </w:pPr>
    <w:rPr>
      <w:sz w:val="20"/>
    </w:rPr>
  </w:style>
  <w:style w:type="character" w:customStyle="1" w:styleId="LeyendaChar">
    <w:name w:val="Leyenda Char"/>
    <w:basedOn w:val="CuerpodeltextoCar"/>
    <w:link w:val="Leyenda"/>
    <w:rsid w:val="00CE3047"/>
    <w:rPr>
      <w:rFonts w:ascii="Times New Roman" w:hAnsi="Times New Roman" w:cs="Times New Roman"/>
      <w:sz w:val="20"/>
    </w:rPr>
  </w:style>
  <w:style w:type="paragraph" w:customStyle="1" w:styleId="Tabla">
    <w:name w:val="Tabla"/>
    <w:basedOn w:val="Cuerpodeltexto"/>
    <w:link w:val="TablaChar"/>
    <w:qFormat/>
    <w:rsid w:val="00CE3047"/>
    <w:pPr>
      <w:ind w:firstLine="0"/>
    </w:pPr>
    <w:rPr>
      <w:sz w:val="20"/>
    </w:rPr>
  </w:style>
  <w:style w:type="character" w:customStyle="1" w:styleId="TablaChar">
    <w:name w:val="Tabla Char"/>
    <w:basedOn w:val="CuerpodeltextoCar"/>
    <w:link w:val="Tabla"/>
    <w:rsid w:val="00CE3047"/>
    <w:rPr>
      <w:rFonts w:ascii="Times New Roman" w:hAnsi="Times New Roman" w:cs="Times New Roman"/>
      <w:sz w:val="20"/>
    </w:rPr>
  </w:style>
  <w:style w:type="paragraph" w:styleId="Bibliografa">
    <w:name w:val="Bibliography"/>
    <w:basedOn w:val="Normal"/>
    <w:next w:val="Normal"/>
    <w:link w:val="BibliografaCar"/>
    <w:uiPriority w:val="37"/>
    <w:unhideWhenUsed/>
    <w:rsid w:val="00EB3DA1"/>
    <w:pPr>
      <w:spacing w:line="480" w:lineRule="auto"/>
      <w:ind w:left="720" w:hanging="720"/>
    </w:pPr>
  </w:style>
  <w:style w:type="character" w:customStyle="1" w:styleId="BibliografaCar">
    <w:name w:val="Bibliografía Car"/>
    <w:basedOn w:val="Fuentedeprrafopredeter"/>
    <w:link w:val="Bibliografa"/>
    <w:uiPriority w:val="37"/>
    <w:rsid w:val="00EB3DA1"/>
    <w:rPr>
      <w:rFonts w:ascii="Times New Roman" w:hAnsi="Times New Roman"/>
    </w:rPr>
  </w:style>
  <w:style w:type="paragraph" w:customStyle="1" w:styleId="Referencias">
    <w:name w:val="Referencias"/>
    <w:basedOn w:val="Bibliografa"/>
    <w:link w:val="ReferenciasChar"/>
    <w:qFormat/>
    <w:rsid w:val="0026750D"/>
    <w:pPr>
      <w:ind w:left="567" w:hanging="567"/>
    </w:pPr>
    <w:rPr>
      <w:rFonts w:cs="Times New Roman"/>
      <w:sz w:val="20"/>
      <w:lang w:val="en-US"/>
    </w:rPr>
  </w:style>
  <w:style w:type="character" w:customStyle="1" w:styleId="ReferenciasChar">
    <w:name w:val="Referencias Char"/>
    <w:basedOn w:val="BibliografaCar"/>
    <w:link w:val="Referencias"/>
    <w:rsid w:val="0026750D"/>
    <w:rPr>
      <w:rFonts w:ascii="Times New Roman" w:hAnsi="Times New Roman" w:cs="Times New Roman"/>
      <w:sz w:val="20"/>
      <w:lang w:val="en-US"/>
    </w:rPr>
  </w:style>
  <w:style w:type="paragraph" w:customStyle="1" w:styleId="Cuadrculamedia1-nfasis21">
    <w:name w:val="Cuadrícula media 1 - Énfasis 21"/>
    <w:basedOn w:val="Normal"/>
    <w:uiPriority w:val="34"/>
    <w:qFormat/>
    <w:rsid w:val="00C37732"/>
    <w:pPr>
      <w:spacing w:line="240" w:lineRule="auto"/>
      <w:ind w:left="720"/>
      <w:contextualSpacing/>
    </w:pPr>
    <w:rPr>
      <w:rFonts w:ascii="Calibri" w:eastAsia="Calibri" w:hAnsi="Calibri" w:cs="Times New Roman"/>
      <w:sz w:val="24"/>
      <w:szCs w:val="24"/>
      <w:lang w:val="es-ES_tradnl"/>
    </w:rPr>
  </w:style>
  <w:style w:type="paragraph" w:customStyle="1" w:styleId="Default">
    <w:name w:val="Default"/>
    <w:rsid w:val="00C37732"/>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TextodegloboCar">
    <w:name w:val="Texto de globo Car"/>
    <w:basedOn w:val="Fuentedeprrafopredeter"/>
    <w:link w:val="Textodeglobo"/>
    <w:uiPriority w:val="99"/>
    <w:semiHidden/>
    <w:rsid w:val="00C37732"/>
    <w:rPr>
      <w:rFonts w:ascii="Helvetica" w:eastAsia="Calibri" w:hAnsi="Helvetica" w:cs="Times New Roman"/>
      <w:sz w:val="18"/>
      <w:szCs w:val="18"/>
    </w:rPr>
  </w:style>
  <w:style w:type="paragraph" w:styleId="Textodeglobo">
    <w:name w:val="Balloon Text"/>
    <w:basedOn w:val="Normal"/>
    <w:link w:val="TextodegloboCar"/>
    <w:uiPriority w:val="99"/>
    <w:semiHidden/>
    <w:unhideWhenUsed/>
    <w:rsid w:val="00C37732"/>
    <w:pPr>
      <w:spacing w:line="240" w:lineRule="auto"/>
    </w:pPr>
    <w:rPr>
      <w:rFonts w:ascii="Helvetica" w:eastAsia="Calibri" w:hAnsi="Helvetica" w:cs="Times New Roman"/>
      <w:sz w:val="18"/>
      <w:szCs w:val="18"/>
    </w:rPr>
  </w:style>
  <w:style w:type="character" w:customStyle="1" w:styleId="TextocomentarioCar">
    <w:name w:val="Texto comentario Car"/>
    <w:basedOn w:val="Fuentedeprrafopredeter"/>
    <w:link w:val="Textocomentario"/>
    <w:uiPriority w:val="99"/>
    <w:semiHidden/>
    <w:rsid w:val="00C37732"/>
    <w:rPr>
      <w:rFonts w:ascii="Calibri" w:eastAsia="Calibri" w:hAnsi="Calibri" w:cs="Times New Roman"/>
      <w:sz w:val="24"/>
      <w:szCs w:val="24"/>
    </w:rPr>
  </w:style>
  <w:style w:type="paragraph" w:styleId="Textocomentario">
    <w:name w:val="annotation text"/>
    <w:basedOn w:val="Normal"/>
    <w:link w:val="TextocomentarioCar"/>
    <w:uiPriority w:val="99"/>
    <w:semiHidden/>
    <w:unhideWhenUsed/>
    <w:rsid w:val="00C37732"/>
    <w:pPr>
      <w:spacing w:after="160" w:line="240" w:lineRule="auto"/>
    </w:pPr>
    <w:rPr>
      <w:rFonts w:ascii="Calibri" w:eastAsia="Calibri" w:hAnsi="Calibri" w:cs="Times New Roman"/>
      <w:sz w:val="24"/>
      <w:szCs w:val="24"/>
    </w:rPr>
  </w:style>
  <w:style w:type="character" w:customStyle="1" w:styleId="AsuntodelcomentarioCar">
    <w:name w:val="Asunto del comentario Car"/>
    <w:basedOn w:val="TextocomentarioCar"/>
    <w:link w:val="Asuntodelcomentario"/>
    <w:uiPriority w:val="99"/>
    <w:semiHidden/>
    <w:rsid w:val="00C37732"/>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C37732"/>
    <w:rPr>
      <w:b/>
      <w:bCs/>
      <w:sz w:val="20"/>
      <w:szCs w:val="20"/>
    </w:rPr>
  </w:style>
  <w:style w:type="character" w:styleId="Hipervnculo">
    <w:name w:val="Hyperlink"/>
    <w:uiPriority w:val="99"/>
    <w:unhideWhenUsed/>
    <w:rsid w:val="00C37732"/>
    <w:rPr>
      <w:color w:val="0563C1"/>
      <w:u w:val="single"/>
    </w:rPr>
  </w:style>
  <w:style w:type="character" w:customStyle="1" w:styleId="hps">
    <w:name w:val="hps"/>
    <w:basedOn w:val="Fuentedeprrafopredeter"/>
    <w:rsid w:val="00C37732"/>
  </w:style>
  <w:style w:type="character" w:customStyle="1" w:styleId="st1">
    <w:name w:val="st1"/>
    <w:basedOn w:val="Fuentedeprrafopredeter"/>
    <w:rsid w:val="00C37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9DB22-1813-C64C-9A09-FD37082F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6732</Words>
  <Characters>37027</Characters>
  <Application>Microsoft Macintosh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Autor</cp:lastModifiedBy>
  <cp:revision>3</cp:revision>
  <dcterms:created xsi:type="dcterms:W3CDTF">2020-01-28T18:29:00Z</dcterms:created>
  <dcterms:modified xsi:type="dcterms:W3CDTF">2020-01-28T18:33:00Z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zotero-version="5.0.51"&gt;&lt;session id="m0F9c5jT"/&gt;&lt;style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