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AE" w:rsidRDefault="00C352AE" w:rsidP="00C352AE">
      <w:pPr>
        <w:spacing w:line="276" w:lineRule="auto"/>
        <w:jc w:val="center"/>
        <w:rPr>
          <w:rFonts w:cstheme="minorHAnsi"/>
          <w:b/>
          <w:color w:val="006699"/>
          <w:sz w:val="32"/>
          <w:szCs w:val="32"/>
        </w:rPr>
      </w:pPr>
    </w:p>
    <w:p w:rsidR="00D173BF" w:rsidRDefault="00D173BF" w:rsidP="00C352AE">
      <w:pPr>
        <w:spacing w:line="276" w:lineRule="auto"/>
        <w:jc w:val="center"/>
        <w:rPr>
          <w:rFonts w:cstheme="minorHAnsi"/>
          <w:b/>
          <w:color w:val="006699"/>
          <w:sz w:val="32"/>
          <w:szCs w:val="32"/>
        </w:rPr>
      </w:pPr>
      <w:r w:rsidRPr="00D173BF">
        <w:rPr>
          <w:rFonts w:cstheme="minorHAnsi"/>
          <w:b/>
          <w:color w:val="006699"/>
          <w:sz w:val="32"/>
          <w:szCs w:val="32"/>
          <w:lang w:val="en-US"/>
        </w:rPr>
        <w:t>Homer’s Odyssey: from classical poetry to threshold graphic narratives for dual readership</w:t>
      </w:r>
      <w:r w:rsidRPr="00D173BF">
        <w:rPr>
          <w:rFonts w:cstheme="minorHAnsi"/>
          <w:b/>
          <w:color w:val="006699"/>
          <w:sz w:val="32"/>
          <w:szCs w:val="32"/>
        </w:rPr>
        <w:t xml:space="preserve"> </w:t>
      </w:r>
    </w:p>
    <w:p w:rsidR="007935CE" w:rsidRPr="00D173BF" w:rsidRDefault="00D173BF" w:rsidP="00D173BF">
      <w:pPr>
        <w:spacing w:line="276" w:lineRule="auto"/>
        <w:jc w:val="center"/>
        <w:rPr>
          <w:rFonts w:cstheme="minorHAnsi"/>
          <w:b/>
          <w:color w:val="006699"/>
          <w:sz w:val="32"/>
          <w:szCs w:val="32"/>
          <w:lang w:val="en-US"/>
        </w:rPr>
      </w:pPr>
      <w:r w:rsidRPr="00D173BF">
        <w:rPr>
          <w:rFonts w:cstheme="minorHAnsi"/>
          <w:b/>
          <w:color w:val="006699"/>
          <w:sz w:val="32"/>
          <w:szCs w:val="32"/>
          <w:lang w:val="en-US"/>
        </w:rPr>
        <w:t>La Odisea de Homero: desde la poesía clásica hasta las narrativas gráficas para lectores duales</w:t>
      </w:r>
      <w:r w:rsidR="00FD232D">
        <w:rPr>
          <w:rFonts w:cstheme="minorHAnsi"/>
          <w:b/>
          <w:color w:val="006699"/>
          <w:sz w:val="32"/>
          <w:szCs w:val="32"/>
        </w:rPr>
        <w:t xml:space="preserve"> </w:t>
      </w:r>
    </w:p>
    <w:p w:rsidR="007935CE" w:rsidRPr="004379F4" w:rsidRDefault="00D173BF" w:rsidP="00C352AE">
      <w:pPr>
        <w:spacing w:line="276" w:lineRule="auto"/>
        <w:jc w:val="center"/>
        <w:rPr>
          <w:rFonts w:ascii="Cambria" w:hAnsi="Cambria" w:cstheme="minorHAnsi"/>
          <w:b/>
          <w:color w:val="323E4F" w:themeColor="text2" w:themeShade="BF"/>
          <w:sz w:val="24"/>
          <w:szCs w:val="24"/>
        </w:rPr>
      </w:pPr>
      <w:r>
        <w:rPr>
          <w:rFonts w:cstheme="minorHAnsi"/>
          <w:b/>
          <w:color w:val="006699"/>
          <w:sz w:val="32"/>
          <w:szCs w:val="32"/>
          <w:lang w:val="el-GR"/>
        </w:rPr>
        <w:t xml:space="preserve">Η Οδύσσεια του Ομήρου: από την κλασσική ποίηση στη μεταιχμιακή γραφιστική αφήγηση για δι-ηλικιακό κοινό </w:t>
      </w:r>
    </w:p>
    <w:p w:rsidR="005821FC" w:rsidRPr="004379F4" w:rsidRDefault="005821FC" w:rsidP="00C352AE">
      <w:pPr>
        <w:spacing w:line="276" w:lineRule="auto"/>
        <w:jc w:val="center"/>
        <w:rPr>
          <w:rFonts w:ascii="Cambria" w:hAnsi="Cambria" w:cstheme="minorHAnsi"/>
          <w:b/>
          <w:color w:val="323E4F" w:themeColor="text2" w:themeShade="BF"/>
          <w:sz w:val="24"/>
          <w:szCs w:val="24"/>
          <w:u w:val="single"/>
        </w:rPr>
      </w:pPr>
    </w:p>
    <w:p w:rsidR="00220EDC" w:rsidRPr="00220EDC" w:rsidRDefault="00D173BF" w:rsidP="00220EDC">
      <w:pPr>
        <w:shd w:val="clear" w:color="auto" w:fill="FFFFFF"/>
        <w:spacing w:after="0"/>
        <w:rPr>
          <w:rFonts w:ascii="Arial" w:eastAsia="Times New Roman" w:hAnsi="Arial" w:cs="Arial"/>
          <w:color w:val="494A4C"/>
          <w:sz w:val="11"/>
          <w:szCs w:val="11"/>
          <w:lang w:val="en-US" w:eastAsia="el-GR"/>
        </w:rPr>
      </w:pPr>
      <w:r>
        <w:rPr>
          <w:rFonts w:ascii="Cambria" w:hAnsi="Cambria" w:cstheme="minorHAnsi"/>
          <w:b/>
          <w:color w:val="323E4F" w:themeColor="text2" w:themeShade="BF"/>
          <w:sz w:val="24"/>
          <w:szCs w:val="24"/>
          <w:lang w:val="en-US"/>
        </w:rPr>
        <w:t>Moula Evangelia</w:t>
      </w:r>
      <w:r w:rsidR="00C43448" w:rsidRPr="004379F4">
        <w:rPr>
          <w:rFonts w:ascii="Cambria" w:hAnsi="Cambria" w:cstheme="minorHAnsi"/>
          <w:b/>
          <w:color w:val="323E4F" w:themeColor="text2" w:themeShade="BF"/>
          <w:sz w:val="24"/>
          <w:szCs w:val="24"/>
          <w:vertAlign w:val="superscript"/>
          <w:lang w:val="en-US"/>
        </w:rPr>
        <w:t>1</w:t>
      </w:r>
      <w:r w:rsidR="007C5A0F" w:rsidRPr="004379F4">
        <w:rPr>
          <w:rFonts w:ascii="Cambria" w:hAnsi="Cambria" w:cstheme="minorHAnsi"/>
          <w:b/>
          <w:color w:val="323E4F" w:themeColor="text2" w:themeShade="BF"/>
          <w:sz w:val="24"/>
          <w:szCs w:val="24"/>
          <w:lang w:val="en-US"/>
        </w:rPr>
        <w:t xml:space="preserve">, </w:t>
      </w:r>
      <w:r>
        <w:rPr>
          <w:rFonts w:ascii="Cambria" w:hAnsi="Cambria" w:cstheme="minorHAnsi"/>
          <w:b/>
          <w:color w:val="323E4F" w:themeColor="text2" w:themeShade="BF"/>
          <w:sz w:val="24"/>
          <w:szCs w:val="24"/>
          <w:lang w:val="en-US"/>
        </w:rPr>
        <w:t>Malafantis Konstantinos</w:t>
      </w:r>
      <w:r w:rsidR="00C43448" w:rsidRPr="004379F4">
        <w:rPr>
          <w:rFonts w:ascii="Cambria" w:hAnsi="Cambria" w:cstheme="minorHAnsi"/>
          <w:b/>
          <w:color w:val="323E4F" w:themeColor="text2" w:themeShade="BF"/>
          <w:sz w:val="24"/>
          <w:szCs w:val="24"/>
          <w:vertAlign w:val="superscript"/>
          <w:lang w:val="en-US"/>
        </w:rPr>
        <w:t>2</w:t>
      </w:r>
      <w:r w:rsidR="00762CDD" w:rsidRPr="004379F4">
        <w:rPr>
          <w:rFonts w:ascii="Cambria" w:hAnsi="Cambria" w:cstheme="minorHAnsi"/>
          <w:b/>
          <w:color w:val="323E4F" w:themeColor="text2" w:themeShade="BF"/>
          <w:sz w:val="24"/>
          <w:szCs w:val="24"/>
          <w:lang w:val="en-US"/>
        </w:rPr>
        <w:t xml:space="preserve"> </w:t>
      </w:r>
      <w:r w:rsidR="007C5A0F" w:rsidRPr="004379F4">
        <w:rPr>
          <w:rFonts w:ascii="Cambria" w:hAnsi="Cambria" w:cstheme="minorHAnsi"/>
          <w:lang w:val="en-US"/>
        </w:rPr>
        <w:br/>
      </w:r>
      <w:r w:rsidR="00C43448" w:rsidRPr="004379F4">
        <w:rPr>
          <w:rFonts w:ascii="Cambria" w:hAnsi="Cambria" w:cstheme="minorHAnsi"/>
          <w:sz w:val="18"/>
          <w:szCs w:val="18"/>
          <w:lang w:val="en-US"/>
        </w:rPr>
        <w:br/>
      </w:r>
      <w:r w:rsidR="00C43448" w:rsidRPr="004379F4">
        <w:rPr>
          <w:rFonts w:ascii="Cambria" w:hAnsi="Cambria" w:cstheme="minorHAnsi"/>
          <w:sz w:val="18"/>
          <w:szCs w:val="18"/>
          <w:vertAlign w:val="superscript"/>
          <w:lang w:val="en-US"/>
        </w:rPr>
        <w:t>1</w:t>
      </w:r>
      <w:r>
        <w:rPr>
          <w:rFonts w:ascii="Cambria" w:hAnsi="Cambria" w:cstheme="minorHAnsi"/>
          <w:sz w:val="18"/>
          <w:szCs w:val="18"/>
          <w:lang w:val="en-US"/>
        </w:rPr>
        <w:t xml:space="preserve">Hellenic Open University, Greece, </w:t>
      </w:r>
      <w:hyperlink r:id="rId8" w:history="1">
        <w:r w:rsidR="00220EDC" w:rsidRPr="00F03704">
          <w:rPr>
            <w:rStyle w:val="-"/>
            <w:rFonts w:ascii="Cambria" w:hAnsi="Cambria" w:cstheme="minorHAnsi"/>
            <w:sz w:val="18"/>
            <w:szCs w:val="18"/>
            <w:lang w:val="en-US"/>
          </w:rPr>
          <w:t>moulaevang@gmail.com</w:t>
        </w:r>
      </w:hyperlink>
      <w:r w:rsidR="00220EDC">
        <w:rPr>
          <w:rFonts w:ascii="Cambria" w:hAnsi="Cambria" w:cstheme="minorHAnsi"/>
          <w:sz w:val="18"/>
          <w:szCs w:val="18"/>
          <w:lang w:val="en-US"/>
        </w:rPr>
        <w:t>,</w:t>
      </w:r>
      <w:r w:rsidR="00220EDC" w:rsidRPr="00220EDC">
        <w:rPr>
          <w:rStyle w:val="-"/>
          <w:rFonts w:ascii="Arial" w:hAnsi="Arial" w:cs="Arial"/>
          <w:color w:val="494A4C"/>
          <w:sz w:val="9"/>
          <w:szCs w:val="9"/>
        </w:rPr>
        <w:t xml:space="preserve"> </w:t>
      </w:r>
      <w:r w:rsidR="00220EDC" w:rsidRPr="00220EDC">
        <w:rPr>
          <w:rFonts w:ascii="Cambria" w:hAnsi="Cambria" w:cstheme="minorHAnsi"/>
          <w:sz w:val="18"/>
          <w:szCs w:val="18"/>
          <w:lang w:val="en-US"/>
        </w:rPr>
        <w:t>https://orcid.org/0000-0002-9694-4924</w:t>
      </w:r>
      <w:r w:rsidR="00C43448" w:rsidRPr="004379F4">
        <w:rPr>
          <w:rFonts w:ascii="Cambria" w:hAnsi="Cambria" w:cstheme="minorHAnsi"/>
          <w:sz w:val="18"/>
          <w:szCs w:val="18"/>
          <w:lang w:val="en-US"/>
        </w:rPr>
        <w:br/>
      </w:r>
      <w:r w:rsidR="00C43448" w:rsidRPr="004379F4">
        <w:rPr>
          <w:rFonts w:ascii="Cambria" w:hAnsi="Cambria" w:cstheme="minorHAnsi"/>
          <w:sz w:val="18"/>
          <w:szCs w:val="18"/>
          <w:vertAlign w:val="superscript"/>
          <w:lang w:val="en-US"/>
        </w:rPr>
        <w:t>2</w:t>
      </w:r>
      <w:r>
        <w:rPr>
          <w:rFonts w:ascii="Cambria" w:hAnsi="Cambria" w:cstheme="minorHAnsi"/>
          <w:sz w:val="18"/>
          <w:szCs w:val="18"/>
          <w:vertAlign w:val="superscript"/>
          <w:lang w:val="en-US"/>
        </w:rPr>
        <w:t xml:space="preserve"> </w:t>
      </w:r>
      <w:r>
        <w:rPr>
          <w:rFonts w:ascii="Cambria" w:hAnsi="Cambria" w:cstheme="minorHAnsi"/>
          <w:sz w:val="18"/>
          <w:szCs w:val="18"/>
          <w:lang w:val="en-US"/>
        </w:rPr>
        <w:t xml:space="preserve">National </w:t>
      </w:r>
      <w:r w:rsidR="00173BAC">
        <w:rPr>
          <w:rFonts w:ascii="Cambria" w:hAnsi="Cambria" w:cstheme="minorHAnsi"/>
          <w:sz w:val="18"/>
          <w:szCs w:val="18"/>
          <w:lang w:val="en-US"/>
        </w:rPr>
        <w:t>and Ka</w:t>
      </w:r>
      <w:r>
        <w:rPr>
          <w:rFonts w:ascii="Cambria" w:hAnsi="Cambria" w:cstheme="minorHAnsi"/>
          <w:sz w:val="18"/>
          <w:szCs w:val="18"/>
          <w:lang w:val="en-US"/>
        </w:rPr>
        <w:t xml:space="preserve">podistrian </w:t>
      </w:r>
      <w:r w:rsidR="00173BAC">
        <w:rPr>
          <w:rFonts w:ascii="Cambria" w:hAnsi="Cambria" w:cstheme="minorHAnsi"/>
          <w:sz w:val="18"/>
          <w:szCs w:val="18"/>
          <w:lang w:val="en-US"/>
        </w:rPr>
        <w:t>University</w:t>
      </w:r>
      <w:r>
        <w:rPr>
          <w:rFonts w:ascii="Cambria" w:hAnsi="Cambria" w:cstheme="minorHAnsi"/>
          <w:sz w:val="18"/>
          <w:szCs w:val="18"/>
          <w:lang w:val="en-US"/>
        </w:rPr>
        <w:t xml:space="preserve"> of Athens, Greece, kmalafant@primedu.uoa.gr</w:t>
      </w:r>
      <w:r w:rsidR="00220EDC">
        <w:rPr>
          <w:rFonts w:ascii="Cambria" w:hAnsi="Cambria" w:cstheme="minorHAnsi"/>
          <w:sz w:val="18"/>
          <w:szCs w:val="18"/>
          <w:lang w:val="en-US"/>
        </w:rPr>
        <w:t>,</w:t>
      </w:r>
    </w:p>
    <w:p w:rsidR="00220EDC" w:rsidRPr="00220EDC" w:rsidRDefault="00220EDC" w:rsidP="00220EDC">
      <w:pPr>
        <w:shd w:val="clear" w:color="auto" w:fill="FFFFFF"/>
        <w:spacing w:after="0"/>
        <w:rPr>
          <w:rFonts w:ascii="Arial" w:eastAsia="Times New Roman" w:hAnsi="Arial" w:cs="Arial"/>
          <w:color w:val="494A4C"/>
          <w:sz w:val="11"/>
          <w:szCs w:val="11"/>
          <w:lang w:val="en-US" w:eastAsia="el-GR"/>
        </w:rPr>
      </w:pPr>
      <w:r w:rsidRPr="00220EDC">
        <w:rPr>
          <w:rFonts w:ascii="Cambria" w:hAnsi="Cambria" w:cstheme="minorHAnsi"/>
          <w:sz w:val="18"/>
          <w:szCs w:val="18"/>
          <w:lang w:val="en-US"/>
        </w:rPr>
        <w:t>https://orcid.org/0000-0001-5888-5719</w:t>
      </w:r>
    </w:p>
    <w:p w:rsidR="001F406F" w:rsidRPr="004379F4" w:rsidRDefault="00FD232D" w:rsidP="00220EDC">
      <w:pPr>
        <w:spacing w:after="0" w:line="276" w:lineRule="auto"/>
        <w:jc w:val="center"/>
        <w:rPr>
          <w:rFonts w:cstheme="minorHAnsi"/>
          <w:b/>
          <w:color w:val="02B7CA"/>
          <w:sz w:val="32"/>
          <w:szCs w:val="32"/>
          <w:u w:val="single"/>
          <w:lang w:val="en-US"/>
        </w:rPr>
      </w:pPr>
      <w:r w:rsidRPr="004379F4">
        <w:rPr>
          <w:rFonts w:ascii="Cambria" w:hAnsi="Cambria" w:cstheme="minorHAnsi"/>
          <w:sz w:val="18"/>
          <w:szCs w:val="18"/>
          <w:lang w:val="en-US"/>
        </w:rPr>
        <w:br/>
      </w:r>
    </w:p>
    <w:p w:rsidR="007935CE" w:rsidRPr="004379F4" w:rsidRDefault="007935CE" w:rsidP="001F406F">
      <w:pPr>
        <w:spacing w:after="0" w:line="276" w:lineRule="auto"/>
        <w:jc w:val="both"/>
        <w:rPr>
          <w:rFonts w:cstheme="minorHAnsi"/>
          <w:b/>
          <w:color w:val="02B7CA"/>
          <w:sz w:val="24"/>
          <w:szCs w:val="24"/>
          <w:u w:val="single"/>
          <w:lang w:val="en-US"/>
        </w:rPr>
      </w:pPr>
    </w:p>
    <w:p w:rsidR="004C0384" w:rsidRPr="004C0384" w:rsidRDefault="001F406F" w:rsidP="004C0384">
      <w:pPr>
        <w:spacing w:after="0" w:line="276" w:lineRule="auto"/>
        <w:jc w:val="both"/>
        <w:rPr>
          <w:rFonts w:cstheme="minorHAnsi"/>
          <w:b/>
          <w:color w:val="0D0D0D" w:themeColor="text1" w:themeTint="F2"/>
          <w:sz w:val="20"/>
          <w:szCs w:val="20"/>
          <w:lang w:val="en-US"/>
        </w:rPr>
      </w:pPr>
      <w:r w:rsidRPr="004379F4">
        <w:rPr>
          <w:rFonts w:cstheme="minorHAnsi"/>
          <w:b/>
          <w:color w:val="02B7CA"/>
          <w:sz w:val="24"/>
          <w:szCs w:val="24"/>
          <w:lang w:val="en-US"/>
        </w:rPr>
        <w:br/>
      </w:r>
      <w:r w:rsidR="004C0384" w:rsidRPr="004C0384">
        <w:rPr>
          <w:rFonts w:cstheme="minorHAnsi"/>
          <w:b/>
          <w:color w:val="006699"/>
          <w:sz w:val="20"/>
          <w:szCs w:val="20"/>
          <w:lang w:val="en-US"/>
        </w:rPr>
        <w:t xml:space="preserve">Abstract </w:t>
      </w:r>
    </w:p>
    <w:p w:rsidR="00D173BF" w:rsidRDefault="00D173BF" w:rsidP="004C0384">
      <w:pPr>
        <w:spacing w:after="0" w:line="276" w:lineRule="auto"/>
        <w:jc w:val="both"/>
        <w:rPr>
          <w:rFonts w:ascii="Cambria" w:hAnsi="Cambria" w:cstheme="minorHAnsi"/>
          <w:color w:val="0D0D0D" w:themeColor="text1" w:themeTint="F2"/>
          <w:sz w:val="18"/>
          <w:szCs w:val="18"/>
          <w:lang w:val="en-US"/>
        </w:rPr>
      </w:pPr>
      <w:r w:rsidRPr="00D173BF">
        <w:rPr>
          <w:rFonts w:ascii="Cambria" w:hAnsi="Cambria" w:cstheme="minorHAnsi"/>
          <w:color w:val="0D0D0D" w:themeColor="text1" w:themeTint="F2"/>
          <w:sz w:val="18"/>
          <w:szCs w:val="18"/>
          <w:lang w:val="en-US"/>
        </w:rPr>
        <w:t xml:space="preserve">This article’s focus is some unconventional adaptations of the </w:t>
      </w:r>
      <w:r w:rsidRPr="00D173BF">
        <w:rPr>
          <w:rFonts w:ascii="Cambria" w:hAnsi="Cambria" w:cstheme="minorHAnsi"/>
          <w:i/>
          <w:color w:val="0D0D0D" w:themeColor="text1" w:themeTint="F2"/>
          <w:sz w:val="18"/>
          <w:szCs w:val="18"/>
          <w:lang w:val="en-US"/>
        </w:rPr>
        <w:t>Odyssey</w:t>
      </w:r>
      <w:r w:rsidRPr="00D173BF">
        <w:rPr>
          <w:rFonts w:ascii="Cambria" w:hAnsi="Cambria" w:cstheme="minorHAnsi"/>
          <w:color w:val="0D0D0D" w:themeColor="text1" w:themeTint="F2"/>
          <w:sz w:val="18"/>
          <w:szCs w:val="18"/>
          <w:lang w:val="en-US"/>
        </w:rPr>
        <w:t xml:space="preserve"> in graphic language, belonging to the threshold literary field and contextualized in different historical and cultural milieus. Since  ancient Greek literature in general and Homer in particular, ceased to be considered as sacred scripts, they discarded the centuries-long formalistic and idealistic approach and served as a vehicle for criticism or as a mirror of each  receiving culture’s present. The kind of relation established between each adaptation and its pre-text is defined by the inscribed meta-narratives in its body. The graphic adaptations under discussion, countercultural, demystifying or even subversive, participate in the so called “cross-audience phenomenon”, addressing a dual readership, both children and adults. They aim at undermining the heroic ethos, provoking skepticism and criticizing allusively the contemporary politics. They also trivialize the original by means of humorous, satiric or ironic imitation. This way they facilitate dialogue between past and present, by creating a contact zone within which pluralism is the major trait.</w:t>
      </w:r>
    </w:p>
    <w:p w:rsidR="00D173BF" w:rsidRPr="00D173BF" w:rsidRDefault="004C0384" w:rsidP="00D173BF">
      <w:pPr>
        <w:spacing w:after="0" w:line="276" w:lineRule="auto"/>
        <w:jc w:val="both"/>
        <w:rPr>
          <w:rFonts w:ascii="Cambria" w:hAnsi="Cambria" w:cstheme="minorHAnsi"/>
          <w:color w:val="000000" w:themeColor="text1"/>
          <w:sz w:val="18"/>
          <w:szCs w:val="18"/>
          <w:lang w:val="en-US"/>
        </w:rPr>
      </w:pPr>
      <w:r w:rsidRPr="00D173BF">
        <w:rPr>
          <w:rFonts w:ascii="Cambria" w:hAnsi="Cambria" w:cstheme="minorHAnsi"/>
          <w:color w:val="006699"/>
          <w:sz w:val="18"/>
          <w:szCs w:val="18"/>
          <w:lang w:val="en-US"/>
        </w:rPr>
        <w:t>Key words:</w:t>
      </w:r>
      <w:r w:rsidR="00D173BF" w:rsidRPr="00D173BF">
        <w:rPr>
          <w:rFonts w:ascii="Cambria" w:hAnsi="Cambria" w:cstheme="minorHAnsi"/>
          <w:color w:val="006699"/>
          <w:sz w:val="18"/>
          <w:szCs w:val="18"/>
          <w:lang w:val="en-US"/>
        </w:rPr>
        <w:t xml:space="preserve"> </w:t>
      </w:r>
      <w:r w:rsidR="00D173BF" w:rsidRPr="00D173BF">
        <w:rPr>
          <w:rFonts w:ascii="Cambria" w:hAnsi="Cambria" w:cstheme="minorHAnsi"/>
          <w:color w:val="000000" w:themeColor="text1"/>
          <w:sz w:val="18"/>
          <w:szCs w:val="18"/>
          <w:lang w:val="en-US"/>
        </w:rPr>
        <w:t>The Odyssey, classics’ reception, comic book adaptations, threshold literature, pluralism</w:t>
      </w:r>
    </w:p>
    <w:p w:rsidR="004C0384" w:rsidRPr="004C0384" w:rsidRDefault="004C0384" w:rsidP="004C0384">
      <w:pPr>
        <w:spacing w:after="0" w:line="276" w:lineRule="auto"/>
        <w:jc w:val="both"/>
        <w:rPr>
          <w:rFonts w:ascii="Cambria" w:hAnsi="Cambria" w:cstheme="minorHAnsi"/>
          <w:color w:val="000000" w:themeColor="text1"/>
          <w:sz w:val="18"/>
          <w:szCs w:val="18"/>
          <w:lang w:val="en-US"/>
        </w:rPr>
      </w:pPr>
    </w:p>
    <w:p w:rsidR="004C0384" w:rsidRPr="004C0384" w:rsidRDefault="004C0384" w:rsidP="004C0384">
      <w:pPr>
        <w:spacing w:after="0" w:line="276" w:lineRule="auto"/>
        <w:jc w:val="both"/>
        <w:rPr>
          <w:rFonts w:cstheme="minorHAnsi"/>
          <w:color w:val="02B7CA"/>
          <w:sz w:val="18"/>
          <w:szCs w:val="18"/>
          <w:u w:val="single"/>
          <w:lang w:val="en-US"/>
        </w:rPr>
      </w:pPr>
    </w:p>
    <w:p w:rsidR="001F406F" w:rsidRPr="00D173BF" w:rsidRDefault="00D173BF" w:rsidP="001F406F">
      <w:pPr>
        <w:spacing w:after="0" w:line="276" w:lineRule="auto"/>
        <w:jc w:val="both"/>
        <w:rPr>
          <w:rFonts w:cstheme="minorHAnsi"/>
          <w:b/>
          <w:color w:val="02B7CA"/>
          <w:lang w:val="el-GR"/>
        </w:rPr>
      </w:pPr>
      <w:r>
        <w:rPr>
          <w:rFonts w:cstheme="minorHAnsi"/>
          <w:b/>
          <w:color w:val="02B7CA"/>
          <w:lang w:val="el-GR"/>
        </w:rPr>
        <w:t>Περίληψη</w:t>
      </w:r>
    </w:p>
    <w:p w:rsidR="00D173BF" w:rsidRPr="00D173BF" w:rsidRDefault="00D173BF" w:rsidP="00D173BF">
      <w:pPr>
        <w:spacing w:after="0" w:line="276" w:lineRule="auto"/>
        <w:jc w:val="both"/>
        <w:rPr>
          <w:rFonts w:ascii="Cambria" w:hAnsi="Cambria" w:cstheme="minorHAnsi"/>
          <w:color w:val="000000" w:themeColor="text1"/>
          <w:sz w:val="18"/>
          <w:szCs w:val="18"/>
          <w:lang w:val="el-GR"/>
        </w:rPr>
      </w:pPr>
      <w:r w:rsidRPr="00D173BF">
        <w:rPr>
          <w:rFonts w:ascii="Cambria" w:hAnsi="Cambria" w:cstheme="minorHAnsi"/>
          <w:color w:val="000000" w:themeColor="text1"/>
          <w:sz w:val="18"/>
          <w:szCs w:val="18"/>
          <w:lang w:val="el-GR"/>
        </w:rPr>
        <w:t xml:space="preserve">Το άρθρο αναφέρεται σε ορισμένες αντισυμβατικές διασκευές του Ομηρικής Οδύσσειας σε </w:t>
      </w:r>
      <w:r w:rsidRPr="00D173BF">
        <w:rPr>
          <w:rFonts w:ascii="Cambria" w:hAnsi="Cambria" w:cstheme="minorHAnsi"/>
          <w:color w:val="000000" w:themeColor="text1"/>
          <w:sz w:val="18"/>
          <w:szCs w:val="18"/>
          <w:lang w:val="en-US"/>
        </w:rPr>
        <w:t>graphic</w:t>
      </w:r>
      <w:r w:rsidRPr="00D173BF">
        <w:rPr>
          <w:rFonts w:ascii="Cambria" w:hAnsi="Cambria" w:cstheme="minorHAnsi"/>
          <w:color w:val="000000" w:themeColor="text1"/>
          <w:sz w:val="18"/>
          <w:szCs w:val="18"/>
          <w:lang w:val="el-GR"/>
        </w:rPr>
        <w:t xml:space="preserve"> </w:t>
      </w:r>
      <w:r w:rsidRPr="00D173BF">
        <w:rPr>
          <w:rFonts w:ascii="Cambria" w:hAnsi="Cambria" w:cstheme="minorHAnsi"/>
          <w:color w:val="000000" w:themeColor="text1"/>
          <w:sz w:val="18"/>
          <w:szCs w:val="18"/>
          <w:lang w:val="en-US"/>
        </w:rPr>
        <w:t>narrative</w:t>
      </w:r>
      <w:r w:rsidRPr="00D173BF">
        <w:rPr>
          <w:rFonts w:ascii="Cambria" w:hAnsi="Cambria" w:cstheme="minorHAnsi"/>
          <w:color w:val="000000" w:themeColor="text1"/>
          <w:sz w:val="18"/>
          <w:szCs w:val="18"/>
          <w:lang w:val="el-GR"/>
        </w:rPr>
        <w:t>, οι οποίες συνιστούν ένα μεταιχμιακό λογοτεχνικό πεδίο και αρθρώνονται σε ποικίλα ιστορικά και πολιτισμικά περιβάλλοντα. Από τη στιγμή που η αρχαία ελληνική γραμματεία γενικότερα και ο Όμηρος ειδικότερα έπαψαν να αντιμετωπίζονται ως ιερές γραφές, απέβαλαν τη φορμαλιστική και ιδεαλιστική τους προσέγγιση και μετατράπηκαν σε όχημα κριτικής ή σε κάτοπτρο του παρόντος της εκάστοτε προσλαμβάνουσας κουλτούρας. Οι γραφιστικές διασκευές υπό συζήτηση</w:t>
      </w:r>
      <w:r>
        <w:rPr>
          <w:rFonts w:ascii="Cambria" w:hAnsi="Cambria" w:cstheme="minorHAnsi"/>
          <w:color w:val="000000" w:themeColor="text1"/>
          <w:sz w:val="18"/>
          <w:szCs w:val="18"/>
          <w:lang w:val="el-GR"/>
        </w:rPr>
        <w:t>, αντι-ηγεμονικές, απομυθοποιητικές</w:t>
      </w:r>
      <w:r w:rsidRPr="00D173BF">
        <w:rPr>
          <w:rFonts w:ascii="Cambria" w:hAnsi="Cambria" w:cstheme="minorHAnsi"/>
          <w:color w:val="000000" w:themeColor="text1"/>
          <w:sz w:val="18"/>
          <w:szCs w:val="18"/>
          <w:lang w:val="el-GR"/>
        </w:rPr>
        <w:t xml:space="preserve"> και ανατρεπτικές, απευθύνονται σε ένα δι-ηλικιακό αναγνωστικό κοινό, συμμετέχοντας στο αντίστοιχο ομώνυμο φαινόμενο. Άλλοτε, σκοπεύουν στην υπονόμευση του ηρωικού ήθους και στην έμμεση άσκηση κριτικής σύγχρονων πολιτικών και στάσεων, ενώ άλλοτε υποβαθμίζουν το πρωτότυπο μέσα από χιουμοριστικές, σατιρικές ή </w:t>
      </w:r>
      <w:r w:rsidRPr="00D173BF">
        <w:rPr>
          <w:rFonts w:ascii="Cambria" w:hAnsi="Cambria" w:cstheme="minorHAnsi"/>
          <w:color w:val="000000" w:themeColor="text1"/>
          <w:sz w:val="18"/>
          <w:szCs w:val="18"/>
          <w:lang w:val="el-GR"/>
        </w:rPr>
        <w:lastRenderedPageBreak/>
        <w:t>ειρωνικές τεχνικές. Με τον έναν ή τον άλλον τρόπο διευκολύνουν τον διάλογο μεταξύ παρελθόντος και παρόντος, δημιουργώντας μια κοινή ζώνη επικοινωνίας, με κύριο χαρακτηριστικό την πολυφωνία.</w:t>
      </w:r>
    </w:p>
    <w:p w:rsidR="0076226B" w:rsidRPr="007935CE" w:rsidRDefault="00D173BF" w:rsidP="0076226B">
      <w:pPr>
        <w:spacing w:after="0" w:line="276" w:lineRule="auto"/>
        <w:jc w:val="both"/>
        <w:rPr>
          <w:rFonts w:cstheme="minorHAnsi"/>
          <w:color w:val="02B7CA"/>
          <w:sz w:val="18"/>
          <w:szCs w:val="18"/>
          <w:u w:val="single"/>
        </w:rPr>
      </w:pPr>
      <w:r>
        <w:rPr>
          <w:rFonts w:ascii="Cambria" w:hAnsi="Cambria" w:cstheme="minorHAnsi"/>
          <w:color w:val="006699"/>
          <w:sz w:val="18"/>
          <w:szCs w:val="18"/>
          <w:lang w:val="el-GR"/>
        </w:rPr>
        <w:t>Λέξεις- κλειδιά</w:t>
      </w:r>
      <w:r w:rsidR="0076226B" w:rsidRPr="007935CE">
        <w:rPr>
          <w:rFonts w:ascii="Cambria" w:hAnsi="Cambria" w:cstheme="minorHAnsi"/>
          <w:color w:val="006699"/>
          <w:sz w:val="18"/>
          <w:szCs w:val="18"/>
        </w:rPr>
        <w:t>:</w:t>
      </w:r>
      <w:r w:rsidRPr="00D173BF">
        <w:rPr>
          <w:rFonts w:ascii="Times New Roman" w:eastAsia="Times New Roman" w:hAnsi="Times New Roman" w:cs="Times New Roman"/>
          <w:sz w:val="24"/>
          <w:szCs w:val="24"/>
          <w:lang w:val="el-GR" w:eastAsia="el-GR"/>
        </w:rPr>
        <w:t xml:space="preserve"> </w:t>
      </w:r>
      <w:r w:rsidRPr="00D173BF">
        <w:rPr>
          <w:rFonts w:ascii="Cambria" w:hAnsi="Cambria" w:cstheme="minorHAnsi"/>
          <w:color w:val="000000" w:themeColor="text1"/>
          <w:sz w:val="18"/>
          <w:szCs w:val="18"/>
          <w:lang w:val="el-GR"/>
        </w:rPr>
        <w:t>Οδύσσεια, πρόσληψη των κλασσικών, γραφιστικές διασκευές, μεταιχμιακή λογοτεχνία, πολυφωνία</w:t>
      </w:r>
    </w:p>
    <w:p w:rsidR="0076226B" w:rsidRPr="007935CE" w:rsidRDefault="00C43448" w:rsidP="0076226B">
      <w:pPr>
        <w:spacing w:after="0" w:line="276" w:lineRule="auto"/>
        <w:jc w:val="both"/>
        <w:rPr>
          <w:rFonts w:cstheme="minorHAnsi"/>
          <w:b/>
          <w:color w:val="0D0D0D" w:themeColor="text1" w:themeTint="F2"/>
          <w:u w:val="single"/>
        </w:rPr>
      </w:pPr>
      <w:r w:rsidRPr="004379F4">
        <w:rPr>
          <w:rFonts w:ascii="Cambria" w:hAnsi="Cambria" w:cstheme="minorHAnsi"/>
          <w:color w:val="000000" w:themeColor="text1"/>
          <w:sz w:val="20"/>
          <w:szCs w:val="20"/>
          <w:u w:val="single"/>
        </w:rPr>
        <w:br/>
      </w:r>
      <w:r w:rsidR="007935CE" w:rsidRPr="007935CE">
        <w:rPr>
          <w:rFonts w:cstheme="minorHAnsi"/>
          <w:b/>
          <w:color w:val="006699"/>
          <w:sz w:val="20"/>
        </w:rPr>
        <w:t>R</w:t>
      </w:r>
      <w:r w:rsidR="003B0BAD" w:rsidRPr="007935CE">
        <w:rPr>
          <w:rFonts w:cstheme="minorHAnsi"/>
          <w:b/>
          <w:color w:val="006699"/>
          <w:sz w:val="20"/>
        </w:rPr>
        <w:t>esum</w:t>
      </w:r>
      <w:r w:rsidR="00173BAC">
        <w:rPr>
          <w:rFonts w:cstheme="minorHAnsi"/>
          <w:b/>
          <w:color w:val="006699"/>
          <w:sz w:val="20"/>
        </w:rPr>
        <w:t>en</w:t>
      </w:r>
    </w:p>
    <w:p w:rsidR="001F406F" w:rsidRPr="00762CDD" w:rsidRDefault="00173BAC" w:rsidP="001F406F">
      <w:pPr>
        <w:spacing w:line="276" w:lineRule="auto"/>
        <w:jc w:val="both"/>
        <w:rPr>
          <w:rFonts w:ascii="Cambria" w:hAnsi="Cambria" w:cstheme="minorHAnsi"/>
          <w:color w:val="0D0D0D" w:themeColor="text1" w:themeTint="F2"/>
          <w:sz w:val="18"/>
          <w:szCs w:val="18"/>
          <w:u w:val="single"/>
        </w:rPr>
      </w:pPr>
      <w:r>
        <w:rPr>
          <w:rFonts w:ascii="Cambria" w:hAnsi="Cambria" w:cstheme="minorHAnsi"/>
          <w:color w:val="0D0D0D" w:themeColor="text1" w:themeTint="F2"/>
          <w:sz w:val="18"/>
          <w:szCs w:val="18"/>
          <w:lang w:val="el-GR"/>
        </w:rPr>
        <w:t>Ε</w:t>
      </w:r>
      <w:r w:rsidRPr="00173BAC">
        <w:rPr>
          <w:rFonts w:ascii="Cambria" w:hAnsi="Cambria" w:cstheme="minorHAnsi"/>
          <w:color w:val="0D0D0D" w:themeColor="text1" w:themeTint="F2"/>
          <w:sz w:val="18"/>
          <w:szCs w:val="18"/>
        </w:rPr>
        <w:t>l enfoque de este artículo son algunas adaptaciones no convencionales de la Odisea en el leng</w:t>
      </w:r>
      <w:r>
        <w:rPr>
          <w:rFonts w:ascii="Cambria" w:hAnsi="Cambria" w:cstheme="minorHAnsi"/>
          <w:color w:val="0D0D0D" w:themeColor="text1" w:themeTint="F2"/>
          <w:sz w:val="18"/>
          <w:szCs w:val="18"/>
        </w:rPr>
        <w:t>uaje gráfico, que pertenecen a</w:t>
      </w:r>
      <w:r w:rsidRPr="00173BAC">
        <w:rPr>
          <w:rFonts w:ascii="Cambria" w:hAnsi="Cambria" w:cstheme="minorHAnsi"/>
          <w:color w:val="0D0D0D" w:themeColor="text1" w:themeTint="F2"/>
          <w:sz w:val="18"/>
          <w:szCs w:val="18"/>
          <w:lang w:val="en-US"/>
        </w:rPr>
        <w:t xml:space="preserve"> </w:t>
      </w:r>
      <w:r>
        <w:rPr>
          <w:rFonts w:ascii="Cambria" w:hAnsi="Cambria" w:cstheme="minorHAnsi"/>
          <w:color w:val="0D0D0D" w:themeColor="text1" w:themeTint="F2"/>
          <w:sz w:val="18"/>
          <w:szCs w:val="18"/>
          <w:lang w:val="en-US"/>
        </w:rPr>
        <w:t xml:space="preserve">un  </w:t>
      </w:r>
      <w:r w:rsidRPr="00173BAC">
        <w:rPr>
          <w:rFonts w:ascii="Cambria" w:hAnsi="Cambria" w:cstheme="minorHAnsi"/>
          <w:color w:val="0D0D0D" w:themeColor="text1" w:themeTint="F2"/>
          <w:sz w:val="18"/>
          <w:szCs w:val="18"/>
        </w:rPr>
        <w:t>campo literario</w:t>
      </w:r>
      <w:r>
        <w:rPr>
          <w:rFonts w:ascii="Cambria" w:hAnsi="Cambria" w:cstheme="minorHAnsi"/>
          <w:color w:val="0D0D0D" w:themeColor="text1" w:themeTint="F2"/>
          <w:sz w:val="18"/>
          <w:szCs w:val="18"/>
        </w:rPr>
        <w:t xml:space="preserve"> “de umbral” </w:t>
      </w:r>
      <w:r w:rsidRPr="00173BAC">
        <w:rPr>
          <w:rFonts w:ascii="Cambria" w:hAnsi="Cambria" w:cstheme="minorHAnsi"/>
          <w:color w:val="0D0D0D" w:themeColor="text1" w:themeTint="F2"/>
          <w:sz w:val="18"/>
          <w:szCs w:val="18"/>
        </w:rPr>
        <w:t xml:space="preserve">y se contextualizan en diferentes entornos históricos y culturales. Dado que la literatura griega antigua en general y Homero en particular, dejaron de ser consideradas escrituras sagradas, descartaron </w:t>
      </w:r>
      <w:r>
        <w:rPr>
          <w:rFonts w:ascii="Cambria" w:hAnsi="Cambria" w:cstheme="minorHAnsi"/>
          <w:color w:val="0D0D0D" w:themeColor="text1" w:themeTint="F2"/>
          <w:sz w:val="18"/>
          <w:szCs w:val="18"/>
        </w:rPr>
        <w:t>la interpretacion</w:t>
      </w:r>
      <w:r w:rsidRPr="00173BAC">
        <w:rPr>
          <w:rFonts w:ascii="Cambria" w:hAnsi="Cambria" w:cstheme="minorHAnsi"/>
          <w:color w:val="0D0D0D" w:themeColor="text1" w:themeTint="F2"/>
          <w:sz w:val="18"/>
          <w:szCs w:val="18"/>
        </w:rPr>
        <w:t xml:space="preserve"> formalista e idealista y sirvieron como vehículo para la crítica o como un espejo del presente de cada cultura receptora. El tipo de relación establecida entre cada adaptación y su pre-texto está definido por las meta-narrativas inscritas en su cuerpo. Las adaptaciones gráficas en discusión, contraculturales, desmistificantes o incluso subversivas, participan en el llamado "fenómeno de audiencias cruzadas", dirigiéndose a un lector dual, tanto niños como adultos. Su objetivo es socavar el espíritu heroico, provocar escepticismo y criticar de manera alusiva a la política contemporánea. También trivializan el original mediante imitaciones humorísticas, satíricas o irónicas. De esta manera, facilitan el diálogo entre el pasado y el presente, creando una zona de contacto dentro de la cual el pluralismo es el rasgo principal.</w:t>
      </w:r>
    </w:p>
    <w:p w:rsidR="001F406F" w:rsidRDefault="00173BAC" w:rsidP="001F406F">
      <w:pPr>
        <w:spacing w:line="276" w:lineRule="auto"/>
        <w:jc w:val="both"/>
        <w:rPr>
          <w:rFonts w:cstheme="minorHAnsi"/>
          <w:color w:val="02B7CA"/>
          <w:sz w:val="18"/>
          <w:szCs w:val="18"/>
          <w:u w:val="single"/>
        </w:rPr>
      </w:pPr>
      <w:r>
        <w:rPr>
          <w:rFonts w:ascii="Cambria" w:hAnsi="Cambria" w:cstheme="minorHAnsi"/>
          <w:color w:val="006699"/>
          <w:sz w:val="18"/>
          <w:szCs w:val="18"/>
        </w:rPr>
        <w:t>Palabras clave</w:t>
      </w:r>
      <w:r w:rsidR="001F406F" w:rsidRPr="007935CE">
        <w:rPr>
          <w:rFonts w:ascii="Cambria" w:hAnsi="Cambria" w:cstheme="minorHAnsi"/>
          <w:color w:val="006699"/>
          <w:sz w:val="18"/>
          <w:szCs w:val="18"/>
        </w:rPr>
        <w:t>:</w:t>
      </w:r>
      <w:r w:rsidRPr="00173BAC">
        <w:t xml:space="preserve"> </w:t>
      </w:r>
      <w:r w:rsidRPr="00173BAC">
        <w:rPr>
          <w:rFonts w:ascii="Cambria" w:hAnsi="Cambria" w:cstheme="minorHAnsi"/>
          <w:color w:val="000000" w:themeColor="text1"/>
          <w:sz w:val="18"/>
          <w:szCs w:val="18"/>
        </w:rPr>
        <w:t>La Odisea, recepción de clásicos, adaptaciones de cómics, literatura de umbral, pluralismo.</w:t>
      </w:r>
    </w:p>
    <w:p w:rsidR="001F406F" w:rsidRPr="001F406F" w:rsidRDefault="001F406F" w:rsidP="001F406F">
      <w:pPr>
        <w:spacing w:line="276" w:lineRule="auto"/>
        <w:jc w:val="both"/>
        <w:rPr>
          <w:rFonts w:cstheme="minorHAnsi"/>
          <w:color w:val="02B7CA"/>
          <w:sz w:val="18"/>
          <w:szCs w:val="18"/>
        </w:rPr>
      </w:pPr>
    </w:p>
    <w:p w:rsidR="00654469" w:rsidRDefault="00654469" w:rsidP="001F406F">
      <w:pPr>
        <w:spacing w:after="0" w:line="276" w:lineRule="auto"/>
        <w:jc w:val="both"/>
        <w:rPr>
          <w:rFonts w:cstheme="minorHAnsi"/>
          <w:b/>
          <w:color w:val="006699"/>
        </w:rPr>
        <w:sectPr w:rsidR="00654469" w:rsidSect="00B232E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pPr>
    </w:p>
    <w:p w:rsidR="004C0384" w:rsidRPr="004379F4" w:rsidRDefault="004C0384" w:rsidP="00173BAC">
      <w:pPr>
        <w:spacing w:after="0" w:line="276" w:lineRule="auto"/>
        <w:jc w:val="both"/>
        <w:rPr>
          <w:iCs/>
          <w:sz w:val="20"/>
          <w:szCs w:val="20"/>
          <w:u w:val="single"/>
          <w:lang w:val="en-US"/>
        </w:rPr>
      </w:pPr>
    </w:p>
    <w:sectPr w:rsidR="004C0384" w:rsidRPr="004379F4" w:rsidSect="00B232E5">
      <w:type w:val="continuous"/>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497" w:rsidRDefault="00112497" w:rsidP="00E76B02">
      <w:pPr>
        <w:spacing w:after="0" w:line="240" w:lineRule="auto"/>
      </w:pPr>
      <w:r>
        <w:separator/>
      </w:r>
    </w:p>
  </w:endnote>
  <w:endnote w:type="continuationSeparator" w:id="1">
    <w:p w:rsidR="00112497" w:rsidRDefault="00112497" w:rsidP="00E76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708966"/>
      <w:docPartObj>
        <w:docPartGallery w:val="Page Numbers (Bottom of Page)"/>
        <w:docPartUnique/>
      </w:docPartObj>
    </w:sdtPr>
    <w:sdtContent>
      <w:p w:rsidR="00E65F91" w:rsidRDefault="00E65F91" w:rsidP="00765FD8">
        <w:pPr>
          <w:pStyle w:val="a8"/>
        </w:pPr>
      </w:p>
      <w:p w:rsidR="00765FD8" w:rsidRDefault="00765FD8" w:rsidP="00765FD8">
        <w:pPr>
          <w:pStyle w:val="a8"/>
          <w:rPr>
            <w:color w:val="767171" w:themeColor="background2" w:themeShade="80"/>
          </w:rPr>
        </w:pPr>
      </w:p>
      <w:p w:rsidR="00765FD8" w:rsidRPr="00765FD8" w:rsidRDefault="00765FD8" w:rsidP="00765FD8">
        <w:pPr>
          <w:pStyle w:val="a8"/>
          <w:rPr>
            <w:color w:val="767171" w:themeColor="background2" w:themeShade="80"/>
          </w:rPr>
        </w:pPr>
        <w:r w:rsidRPr="003B49C2">
          <w:rPr>
            <w:color w:val="767171" w:themeColor="background2" w:themeShade="80"/>
          </w:rPr>
          <w:t>Título de la publicación / ISSN XXXX -XXXX</w:t>
        </w:r>
        <w:r>
          <w:rPr>
            <w:color w:val="767171" w:themeColor="background2" w:themeShade="80"/>
          </w:rPr>
          <w:t xml:space="preserve"> / n.º 1 - 2017</w:t>
        </w:r>
        <w:r>
          <w:ptab w:relativeTo="margin" w:alignment="right" w:leader="none"/>
        </w:r>
        <w:r w:rsidRPr="00765FD8">
          <w:rPr>
            <w:color w:val="006699"/>
          </w:rPr>
          <w:t xml:space="preserve">/ </w:t>
        </w:r>
        <w:r w:rsidR="00616EEB" w:rsidRPr="00765FD8">
          <w:rPr>
            <w:color w:val="006699"/>
          </w:rPr>
          <w:fldChar w:fldCharType="begin"/>
        </w:r>
        <w:r w:rsidRPr="00765FD8">
          <w:rPr>
            <w:color w:val="006699"/>
          </w:rPr>
          <w:instrText>PAGE   \* MERGEFORMAT</w:instrText>
        </w:r>
        <w:r w:rsidR="00616EEB" w:rsidRPr="00765FD8">
          <w:rPr>
            <w:color w:val="006699"/>
          </w:rPr>
          <w:fldChar w:fldCharType="separate"/>
        </w:r>
        <w:r w:rsidR="00220EDC">
          <w:rPr>
            <w:noProof/>
            <w:color w:val="006699"/>
          </w:rPr>
          <w:t>2</w:t>
        </w:r>
        <w:r w:rsidR="00616EEB" w:rsidRPr="00765FD8">
          <w:rPr>
            <w:color w:val="006699"/>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FD8" w:rsidRPr="00765FD8" w:rsidRDefault="00765FD8">
    <w:pPr>
      <w:pStyle w:val="a8"/>
      <w:rPr>
        <w:color w:val="767171" w:themeColor="background2" w:themeShade="80"/>
      </w:rPr>
    </w:pPr>
    <w:r w:rsidRPr="003B49C2">
      <w:rPr>
        <w:color w:val="767171" w:themeColor="background2" w:themeShade="80"/>
      </w:rPr>
      <w:t>Título de la publicación / ISSN XXXX -XXXX</w:t>
    </w:r>
    <w:r>
      <w:rPr>
        <w:color w:val="767171" w:themeColor="background2" w:themeShade="80"/>
      </w:rPr>
      <w:t xml:space="preserve"> / n.º 1 - 2017</w:t>
    </w:r>
    <w:r>
      <w:ptab w:relativeTo="margin" w:alignment="right" w:leader="none"/>
    </w:r>
    <w:r w:rsidRPr="00765FD8">
      <w:rPr>
        <w:color w:val="006699"/>
      </w:rPr>
      <w:t xml:space="preserve">/ </w:t>
    </w:r>
    <w:r w:rsidR="00616EEB" w:rsidRPr="00765FD8">
      <w:rPr>
        <w:color w:val="006699"/>
      </w:rPr>
      <w:fldChar w:fldCharType="begin"/>
    </w:r>
    <w:r w:rsidRPr="00765FD8">
      <w:rPr>
        <w:color w:val="006699"/>
      </w:rPr>
      <w:instrText>PAGE   \* MERGEFORMAT</w:instrText>
    </w:r>
    <w:r w:rsidR="00616EEB" w:rsidRPr="00765FD8">
      <w:rPr>
        <w:color w:val="006699"/>
      </w:rPr>
      <w:fldChar w:fldCharType="separate"/>
    </w:r>
    <w:r w:rsidR="00C00188">
      <w:rPr>
        <w:noProof/>
        <w:color w:val="006699"/>
      </w:rPr>
      <w:t>3</w:t>
    </w:r>
    <w:r w:rsidR="00616EEB" w:rsidRPr="00765FD8">
      <w:rPr>
        <w:color w:val="00669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6D" w:rsidRDefault="00747C6D" w:rsidP="00765FD8">
    <w:pPr>
      <w:pStyle w:val="a8"/>
      <w:rPr>
        <w:color w:val="767171" w:themeColor="background2" w:themeShade="80"/>
      </w:rPr>
    </w:pPr>
  </w:p>
  <w:p w:rsidR="00747C6D" w:rsidRDefault="00747C6D" w:rsidP="00765FD8">
    <w:pPr>
      <w:pStyle w:val="a8"/>
      <w:rPr>
        <w:color w:val="767171" w:themeColor="background2" w:themeShade="80"/>
      </w:rPr>
    </w:pPr>
  </w:p>
  <w:p w:rsidR="00765FD8" w:rsidRPr="004379F4" w:rsidRDefault="004379F4" w:rsidP="00765FD8">
    <w:pPr>
      <w:pStyle w:val="a8"/>
      <w:rPr>
        <w:color w:val="767171" w:themeColor="background2" w:themeShade="80"/>
        <w:lang w:val="en-US"/>
      </w:rPr>
    </w:pPr>
    <w:r w:rsidRPr="004379F4">
      <w:rPr>
        <w:color w:val="767171" w:themeColor="background2" w:themeShade="80"/>
        <w:lang w:val="en-US"/>
      </w:rPr>
      <w:t xml:space="preserve">Journal of </w:t>
    </w:r>
    <w:r>
      <w:rPr>
        <w:color w:val="767171" w:themeColor="background2" w:themeShade="80"/>
        <w:lang w:val="en-US"/>
      </w:rPr>
      <w:t>L</w:t>
    </w:r>
    <w:r w:rsidRPr="004379F4">
      <w:rPr>
        <w:color w:val="767171" w:themeColor="background2" w:themeShade="80"/>
        <w:lang w:val="en-US"/>
      </w:rPr>
      <w:t>iterary Education</w:t>
    </w:r>
    <w:r w:rsidR="00765FD8" w:rsidRPr="004379F4">
      <w:rPr>
        <w:color w:val="767171" w:themeColor="background2" w:themeShade="80"/>
        <w:lang w:val="en-US"/>
      </w:rPr>
      <w:t xml:space="preserve"> / ISSN XXXX -XXXX / n.º </w:t>
    </w:r>
    <w:r>
      <w:rPr>
        <w:color w:val="767171" w:themeColor="background2" w:themeShade="80"/>
        <w:lang w:val="en-US"/>
      </w:rPr>
      <w:t>X</w:t>
    </w:r>
    <w:r w:rsidR="00765FD8" w:rsidRPr="004379F4">
      <w:rPr>
        <w:color w:val="767171" w:themeColor="background2" w:themeShade="80"/>
        <w:lang w:val="en-US"/>
      </w:rPr>
      <w:t xml:space="preserve"> - </w:t>
    </w:r>
    <w:r>
      <w:rPr>
        <w:color w:val="767171" w:themeColor="background2" w:themeShade="80"/>
        <w:lang w:val="en-US"/>
      </w:rPr>
      <w:t>Year</w:t>
    </w:r>
    <w:r w:rsidR="00765FD8" w:rsidRPr="004379F4">
      <w:rPr>
        <w:color w:val="006699"/>
        <w:lang w:val="en-US"/>
      </w:rPr>
      <w:t xml:space="preserve">/ </w:t>
    </w:r>
    <w:r w:rsidR="00616EEB" w:rsidRPr="00765FD8">
      <w:rPr>
        <w:color w:val="006699"/>
      </w:rPr>
      <w:fldChar w:fldCharType="begin"/>
    </w:r>
    <w:r w:rsidR="00765FD8" w:rsidRPr="004379F4">
      <w:rPr>
        <w:color w:val="006699"/>
        <w:lang w:val="en-US"/>
      </w:rPr>
      <w:instrText>PAGE   \* MERGEFORMAT</w:instrText>
    </w:r>
    <w:r w:rsidR="00616EEB" w:rsidRPr="00765FD8">
      <w:rPr>
        <w:color w:val="006699"/>
      </w:rPr>
      <w:fldChar w:fldCharType="separate"/>
    </w:r>
    <w:r w:rsidR="00220EDC">
      <w:rPr>
        <w:noProof/>
        <w:color w:val="006699"/>
        <w:lang w:val="en-US"/>
      </w:rPr>
      <w:t>1</w:t>
    </w:r>
    <w:r w:rsidR="00616EEB" w:rsidRPr="00765FD8">
      <w:rPr>
        <w:color w:val="006699"/>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497" w:rsidRDefault="00112497" w:rsidP="00E76B02">
      <w:pPr>
        <w:spacing w:after="0" w:line="240" w:lineRule="auto"/>
      </w:pPr>
      <w:r>
        <w:separator/>
      </w:r>
    </w:p>
  </w:footnote>
  <w:footnote w:type="continuationSeparator" w:id="1">
    <w:p w:rsidR="00112497" w:rsidRDefault="00112497" w:rsidP="00E76B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188" w:rsidRDefault="00C0018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32D" w:rsidRDefault="00B232E5" w:rsidP="00FD232D">
    <w:pPr>
      <w:pStyle w:val="a7"/>
      <w:spacing w:line="276" w:lineRule="auto"/>
      <w:jc w:val="right"/>
      <w:rPr>
        <w:color w:val="808080" w:themeColor="background1" w:themeShade="80"/>
      </w:rPr>
    </w:pPr>
    <w:r>
      <w:rPr>
        <w:color w:val="808080" w:themeColor="background1" w:themeShade="80"/>
      </w:rPr>
      <w:t>Título del artículo</w:t>
    </w:r>
    <w:r w:rsidR="006A1434">
      <w:rPr>
        <w:color w:val="808080" w:themeColor="background1" w:themeShade="80"/>
      </w:rPr>
      <w:t xml:space="preserve"> (Calibri 11, color gris)</w:t>
    </w:r>
  </w:p>
  <w:p w:rsidR="00B232E5" w:rsidRDefault="00616EEB">
    <w:pPr>
      <w:pStyle w:val="a7"/>
    </w:pPr>
    <w:r w:rsidRPr="00616EEB">
      <w:rPr>
        <w:noProof/>
        <w:lang w:val="en-US"/>
      </w:rPr>
      <w:pict>
        <v:line id="Conector recto 4" o:spid="_x0000_s4099" style="position:absolute;flip:y;z-index:251659264;visibility:visible;mso-position-horizontal:left;mso-position-horizontal-relative:margin;mso-width-relative:margin;mso-height-relative:margin" from="0,5.7pt" to="424.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" strokecolor="#5b9bd5 [3204]" strokeweight=".5pt">
          <v:stroke joinstyle="miter"/>
          <w10:wrap anchorx="margin"/>
        </v:line>
      </w:pict>
    </w:r>
  </w:p>
  <w:p w:rsidR="002175E9" w:rsidRDefault="002175E9">
    <w:pPr>
      <w:pStyle w:val="a7"/>
    </w:pPr>
  </w:p>
  <w:p w:rsidR="00B232E5" w:rsidRDefault="00B232E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2E5" w:rsidRDefault="00616EEB" w:rsidP="00B232E5">
    <w:pPr>
      <w:pStyle w:val="a7"/>
      <w:spacing w:line="276" w:lineRule="auto"/>
      <w:jc w:val="right"/>
      <w:rPr>
        <w:color w:val="006699"/>
        <w:sz w:val="24"/>
        <w:szCs w:val="24"/>
      </w:rPr>
    </w:pPr>
    <w:r w:rsidRPr="00616EEB">
      <w:rPr>
        <w:noProof/>
        <w:color w:val="006699"/>
        <w:sz w:val="24"/>
        <w:szCs w:val="24"/>
        <w:lang w:val="en-US"/>
      </w:rPr>
      <w:pict>
        <v:roundrect id="Rectángulo redondeado 7" o:spid="_x0000_s4098" style="position:absolute;left:0;text-align:left;margin-left:2.2pt;margin-top:-11.05pt;width:105.45pt;height:61.7pt;z-index:25166540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" fillcolor="#deeaf6 [660]" strokecolor="white [3201]" strokeweight="1.5pt">
          <v:stroke joinstyle="miter"/>
          <v:textbox>
            <w:txbxContent>
              <w:p w:rsidR="00B232E5" w:rsidRPr="00FD232D" w:rsidRDefault="00B232E5" w:rsidP="00B232E5">
                <w:pPr>
                  <w:jc w:val="center"/>
                  <w:rPr>
                    <w:color w:val="2E74B5" w:themeColor="accent1" w:themeShade="BF"/>
                  </w:rPr>
                </w:pPr>
                <w:bookmarkStart w:id="0" w:name="_GoBack"/>
                <w:bookmarkEnd w:id="0"/>
              </w:p>
            </w:txbxContent>
          </v:textbox>
          <w10:wrap anchorx="margin"/>
        </v:roundrect>
      </w:pict>
    </w:r>
  </w:p>
  <w:p w:rsidR="00C00188" w:rsidRDefault="00C00188" w:rsidP="00B232E5">
    <w:pPr>
      <w:pStyle w:val="a7"/>
      <w:rPr>
        <w:lang w:val="en-US"/>
      </w:rPr>
    </w:pPr>
  </w:p>
  <w:p w:rsidR="00B232E5" w:rsidRPr="004379F4" w:rsidRDefault="00616EEB" w:rsidP="00B232E5">
    <w:pPr>
      <w:pStyle w:val="a7"/>
      <w:rPr>
        <w:lang w:val="en-US"/>
      </w:rPr>
    </w:pPr>
    <w:r w:rsidRPr="00616EEB">
      <w:rPr>
        <w:noProof/>
        <w:lang w:val="en-US"/>
      </w:rPr>
      <w:pict>
        <v:line id="Conector recto 6" o:spid="_x0000_s4097" style="position:absolute;flip:y;z-index:251663360;visibility:visible;mso-position-horizontal:left;mso-position-horizontal-relative:margin;mso-width-relative:margin;mso-height-relative:margin" from="0,8.05pt" to="424.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" strokecolor="#5b9bd5 [3204]" strokeweight=".5pt">
          <v:stroke joinstyle="miter"/>
          <w10:wrap anchorx="margin"/>
        </v:line>
      </w:pict>
    </w:r>
  </w:p>
  <w:p w:rsidR="00B232E5" w:rsidRPr="004379F4" w:rsidRDefault="00B232E5">
    <w:pPr>
      <w:pStyle w:val="a7"/>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0FFD"/>
    <w:multiLevelType w:val="multilevel"/>
    <w:tmpl w:val="3D1E306E"/>
    <w:lvl w:ilvl="0">
      <w:start w:val="1"/>
      <w:numFmt w:val="decimal"/>
      <w:lvlText w:val="%1"/>
      <w:lvlJc w:val="left"/>
      <w:pPr>
        <w:ind w:left="435" w:hanging="435"/>
      </w:pPr>
      <w:rPr>
        <w:rFonts w:hint="default"/>
        <w:color w:val="02B7CA"/>
        <w:u w:val="single"/>
      </w:rPr>
    </w:lvl>
    <w:lvl w:ilvl="1">
      <w:start w:val="1"/>
      <w:numFmt w:val="decimal"/>
      <w:lvlText w:val="%1.%2"/>
      <w:lvlJc w:val="left"/>
      <w:pPr>
        <w:ind w:left="719" w:hanging="435"/>
      </w:pPr>
      <w:rPr>
        <w:rFonts w:hint="default"/>
        <w:color w:val="02B7CA"/>
        <w:u w:val="single"/>
      </w:rPr>
    </w:lvl>
    <w:lvl w:ilvl="2">
      <w:start w:val="1"/>
      <w:numFmt w:val="decimal"/>
      <w:lvlText w:val="%1.%2.%3"/>
      <w:lvlJc w:val="left"/>
      <w:pPr>
        <w:ind w:left="1288" w:hanging="720"/>
      </w:pPr>
      <w:rPr>
        <w:rFonts w:hint="default"/>
        <w:color w:val="02B7CA"/>
        <w:u w:val="single"/>
      </w:rPr>
    </w:lvl>
    <w:lvl w:ilvl="3">
      <w:start w:val="1"/>
      <w:numFmt w:val="decimal"/>
      <w:lvlText w:val="%1.%2.%3.%4"/>
      <w:lvlJc w:val="left"/>
      <w:pPr>
        <w:ind w:left="1572" w:hanging="720"/>
      </w:pPr>
      <w:rPr>
        <w:rFonts w:hint="default"/>
        <w:color w:val="02B7CA"/>
        <w:u w:val="single"/>
      </w:rPr>
    </w:lvl>
    <w:lvl w:ilvl="4">
      <w:start w:val="1"/>
      <w:numFmt w:val="decimal"/>
      <w:lvlText w:val="%1.%2.%3.%4.%5"/>
      <w:lvlJc w:val="left"/>
      <w:pPr>
        <w:ind w:left="2216" w:hanging="1080"/>
      </w:pPr>
      <w:rPr>
        <w:rFonts w:hint="default"/>
        <w:color w:val="02B7CA"/>
        <w:u w:val="single"/>
      </w:rPr>
    </w:lvl>
    <w:lvl w:ilvl="5">
      <w:start w:val="1"/>
      <w:numFmt w:val="decimal"/>
      <w:lvlText w:val="%1.%2.%3.%4.%5.%6"/>
      <w:lvlJc w:val="left"/>
      <w:pPr>
        <w:ind w:left="2500" w:hanging="1080"/>
      </w:pPr>
      <w:rPr>
        <w:rFonts w:hint="default"/>
        <w:color w:val="02B7CA"/>
        <w:u w:val="single"/>
      </w:rPr>
    </w:lvl>
    <w:lvl w:ilvl="6">
      <w:start w:val="1"/>
      <w:numFmt w:val="decimal"/>
      <w:lvlText w:val="%1.%2.%3.%4.%5.%6.%7"/>
      <w:lvlJc w:val="left"/>
      <w:pPr>
        <w:ind w:left="3144" w:hanging="1440"/>
      </w:pPr>
      <w:rPr>
        <w:rFonts w:hint="default"/>
        <w:color w:val="02B7CA"/>
        <w:u w:val="single"/>
      </w:rPr>
    </w:lvl>
    <w:lvl w:ilvl="7">
      <w:start w:val="1"/>
      <w:numFmt w:val="decimal"/>
      <w:lvlText w:val="%1.%2.%3.%4.%5.%6.%7.%8"/>
      <w:lvlJc w:val="left"/>
      <w:pPr>
        <w:ind w:left="3428" w:hanging="1440"/>
      </w:pPr>
      <w:rPr>
        <w:rFonts w:hint="default"/>
        <w:color w:val="02B7CA"/>
        <w:u w:val="single"/>
      </w:rPr>
    </w:lvl>
    <w:lvl w:ilvl="8">
      <w:start w:val="1"/>
      <w:numFmt w:val="decimal"/>
      <w:lvlText w:val="%1.%2.%3.%4.%5.%6.%7.%8.%9"/>
      <w:lvlJc w:val="left"/>
      <w:pPr>
        <w:ind w:left="4072" w:hanging="1800"/>
      </w:pPr>
      <w:rPr>
        <w:rFonts w:hint="default"/>
        <w:color w:val="02B7CA"/>
        <w:u w:val="single"/>
      </w:rPr>
    </w:lvl>
  </w:abstractNum>
  <w:abstractNum w:abstractNumId="1">
    <w:nsid w:val="13C35F2D"/>
    <w:multiLevelType w:val="hybridMultilevel"/>
    <w:tmpl w:val="6D48C48A"/>
    <w:lvl w:ilvl="0" w:tplc="17E87E2A">
      <w:start w:val="1"/>
      <w:numFmt w:val="bullet"/>
      <w:lvlText w:val=""/>
      <w:lvlJc w:val="left"/>
      <w:pPr>
        <w:ind w:left="720" w:hanging="360"/>
      </w:pPr>
      <w:rPr>
        <w:rFonts w:ascii="Symbol" w:hAnsi="Symbol" w:hint="default"/>
        <w:color w:val="0066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88A1B2D"/>
    <w:multiLevelType w:val="hybridMultilevel"/>
    <w:tmpl w:val="A1360B36"/>
    <w:lvl w:ilvl="0" w:tplc="7C486EFE">
      <w:start w:val="1"/>
      <w:numFmt w:val="decimal"/>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5C3EF2"/>
    <w:multiLevelType w:val="hybridMultilevel"/>
    <w:tmpl w:val="1A523D64"/>
    <w:lvl w:ilvl="0" w:tplc="0C0A0017">
      <w:start w:val="1"/>
      <w:numFmt w:val="lowerLetter"/>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A49199A"/>
    <w:multiLevelType w:val="hybridMultilevel"/>
    <w:tmpl w:val="A1360B36"/>
    <w:lvl w:ilvl="0" w:tplc="7C486EFE">
      <w:start w:val="1"/>
      <w:numFmt w:val="decimal"/>
      <w:lvlText w:val="%1."/>
      <w:lvlJc w:val="left"/>
      <w:pPr>
        <w:ind w:left="720" w:hanging="360"/>
      </w:pPr>
      <w:rPr>
        <w:rFonts w:hint="default"/>
        <w:color w:val="00669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evenAndOddHeaders/>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B14A7D"/>
    <w:rsid w:val="00107AC5"/>
    <w:rsid w:val="00112497"/>
    <w:rsid w:val="00173BAC"/>
    <w:rsid w:val="001F406F"/>
    <w:rsid w:val="002175E9"/>
    <w:rsid w:val="00220EDC"/>
    <w:rsid w:val="00334A85"/>
    <w:rsid w:val="003B0BAD"/>
    <w:rsid w:val="003B49C2"/>
    <w:rsid w:val="004379F4"/>
    <w:rsid w:val="00473679"/>
    <w:rsid w:val="004C0384"/>
    <w:rsid w:val="00510621"/>
    <w:rsid w:val="005821FC"/>
    <w:rsid w:val="006113C6"/>
    <w:rsid w:val="00616EEB"/>
    <w:rsid w:val="00654469"/>
    <w:rsid w:val="0067328C"/>
    <w:rsid w:val="006A1434"/>
    <w:rsid w:val="006C21A1"/>
    <w:rsid w:val="006E2475"/>
    <w:rsid w:val="00747C6D"/>
    <w:rsid w:val="0076226B"/>
    <w:rsid w:val="00762CDD"/>
    <w:rsid w:val="00765FD8"/>
    <w:rsid w:val="007935CE"/>
    <w:rsid w:val="007C5A0F"/>
    <w:rsid w:val="007E7408"/>
    <w:rsid w:val="008E3A3E"/>
    <w:rsid w:val="0099705B"/>
    <w:rsid w:val="009E2F90"/>
    <w:rsid w:val="00A451C3"/>
    <w:rsid w:val="00AC5FF5"/>
    <w:rsid w:val="00AE1732"/>
    <w:rsid w:val="00AE618D"/>
    <w:rsid w:val="00B14A7D"/>
    <w:rsid w:val="00B232E5"/>
    <w:rsid w:val="00B361C8"/>
    <w:rsid w:val="00B46D8B"/>
    <w:rsid w:val="00BF42CA"/>
    <w:rsid w:val="00C00188"/>
    <w:rsid w:val="00C352AE"/>
    <w:rsid w:val="00C43448"/>
    <w:rsid w:val="00C952EC"/>
    <w:rsid w:val="00D173BF"/>
    <w:rsid w:val="00D342D6"/>
    <w:rsid w:val="00E5732B"/>
    <w:rsid w:val="00E65F91"/>
    <w:rsid w:val="00E76B02"/>
    <w:rsid w:val="00F23101"/>
    <w:rsid w:val="00F86DAF"/>
    <w:rsid w:val="00FD232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3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C5A0F"/>
    <w:rPr>
      <w:color w:val="0563C1" w:themeColor="hyperlink"/>
      <w:u w:val="single"/>
    </w:rPr>
  </w:style>
  <w:style w:type="table" w:styleId="a3">
    <w:name w:val="Table Grid"/>
    <w:basedOn w:val="a1"/>
    <w:uiPriority w:val="39"/>
    <w:rsid w:val="008E3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6DAF"/>
    <w:pPr>
      <w:ind w:left="720"/>
      <w:contextualSpacing/>
    </w:pPr>
  </w:style>
  <w:style w:type="table" w:customStyle="1" w:styleId="PlainTable1">
    <w:name w:val="Plain Table 1"/>
    <w:basedOn w:val="a1"/>
    <w:uiPriority w:val="41"/>
    <w:rsid w:val="0051062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footnote text"/>
    <w:basedOn w:val="a"/>
    <w:link w:val="Char"/>
    <w:uiPriority w:val="99"/>
    <w:semiHidden/>
    <w:unhideWhenUsed/>
    <w:rsid w:val="00E76B02"/>
    <w:pPr>
      <w:spacing w:after="0" w:line="240" w:lineRule="auto"/>
    </w:pPr>
    <w:rPr>
      <w:sz w:val="20"/>
      <w:szCs w:val="20"/>
    </w:rPr>
  </w:style>
  <w:style w:type="character" w:customStyle="1" w:styleId="Char">
    <w:name w:val="Κείμενο υποσημείωσης Char"/>
    <w:basedOn w:val="a0"/>
    <w:link w:val="a5"/>
    <w:uiPriority w:val="99"/>
    <w:semiHidden/>
    <w:rsid w:val="00E76B02"/>
    <w:rPr>
      <w:sz w:val="20"/>
      <w:szCs w:val="20"/>
    </w:rPr>
  </w:style>
  <w:style w:type="character" w:styleId="a6">
    <w:name w:val="footnote reference"/>
    <w:basedOn w:val="a0"/>
    <w:uiPriority w:val="99"/>
    <w:semiHidden/>
    <w:unhideWhenUsed/>
    <w:rsid w:val="00E76B02"/>
    <w:rPr>
      <w:vertAlign w:val="superscript"/>
    </w:rPr>
  </w:style>
  <w:style w:type="paragraph" w:styleId="a7">
    <w:name w:val="header"/>
    <w:basedOn w:val="a"/>
    <w:link w:val="Char0"/>
    <w:uiPriority w:val="99"/>
    <w:unhideWhenUsed/>
    <w:rsid w:val="002175E9"/>
    <w:pPr>
      <w:tabs>
        <w:tab w:val="center" w:pos="4252"/>
        <w:tab w:val="right" w:pos="8504"/>
      </w:tabs>
      <w:spacing w:after="0" w:line="240" w:lineRule="auto"/>
    </w:pPr>
  </w:style>
  <w:style w:type="character" w:customStyle="1" w:styleId="Char0">
    <w:name w:val="Κεφαλίδα Char"/>
    <w:basedOn w:val="a0"/>
    <w:link w:val="a7"/>
    <w:uiPriority w:val="99"/>
    <w:rsid w:val="002175E9"/>
  </w:style>
  <w:style w:type="paragraph" w:styleId="a8">
    <w:name w:val="footer"/>
    <w:basedOn w:val="a"/>
    <w:link w:val="Char1"/>
    <w:uiPriority w:val="99"/>
    <w:unhideWhenUsed/>
    <w:rsid w:val="002175E9"/>
    <w:pPr>
      <w:tabs>
        <w:tab w:val="center" w:pos="4252"/>
        <w:tab w:val="right" w:pos="8504"/>
      </w:tabs>
      <w:spacing w:after="0" w:line="240" w:lineRule="auto"/>
    </w:pPr>
  </w:style>
  <w:style w:type="character" w:customStyle="1" w:styleId="Char1">
    <w:name w:val="Υποσέλιδο Char"/>
    <w:basedOn w:val="a0"/>
    <w:link w:val="a8"/>
    <w:uiPriority w:val="99"/>
    <w:rsid w:val="002175E9"/>
  </w:style>
  <w:style w:type="character" w:customStyle="1" w:styleId="orcid-id-https">
    <w:name w:val="orcid-id-https"/>
    <w:basedOn w:val="a0"/>
    <w:rsid w:val="00220EDC"/>
  </w:style>
</w:styles>
</file>

<file path=word/webSettings.xml><?xml version="1.0" encoding="utf-8"?>
<w:webSettings xmlns:r="http://schemas.openxmlformats.org/officeDocument/2006/relationships" xmlns:w="http://schemas.openxmlformats.org/wordprocessingml/2006/main">
  <w:divs>
    <w:div w:id="58867090">
      <w:bodyDiv w:val="1"/>
      <w:marLeft w:val="0"/>
      <w:marRight w:val="0"/>
      <w:marTop w:val="0"/>
      <w:marBottom w:val="0"/>
      <w:divBdr>
        <w:top w:val="none" w:sz="0" w:space="0" w:color="auto"/>
        <w:left w:val="none" w:sz="0" w:space="0" w:color="auto"/>
        <w:bottom w:val="none" w:sz="0" w:space="0" w:color="auto"/>
        <w:right w:val="none" w:sz="0" w:space="0" w:color="auto"/>
      </w:divBdr>
      <w:divsChild>
        <w:div w:id="789669989">
          <w:marLeft w:val="0"/>
          <w:marRight w:val="0"/>
          <w:marTop w:val="0"/>
          <w:marBottom w:val="0"/>
          <w:divBdr>
            <w:top w:val="none" w:sz="0" w:space="0" w:color="auto"/>
            <w:left w:val="none" w:sz="0" w:space="0" w:color="auto"/>
            <w:bottom w:val="none" w:sz="0" w:space="0" w:color="auto"/>
            <w:right w:val="none" w:sz="0" w:space="0" w:color="auto"/>
          </w:divBdr>
        </w:div>
      </w:divsChild>
    </w:div>
    <w:div w:id="1418791209">
      <w:bodyDiv w:val="1"/>
      <w:marLeft w:val="0"/>
      <w:marRight w:val="0"/>
      <w:marTop w:val="0"/>
      <w:marBottom w:val="0"/>
      <w:divBdr>
        <w:top w:val="none" w:sz="0" w:space="0" w:color="auto"/>
        <w:left w:val="none" w:sz="0" w:space="0" w:color="auto"/>
        <w:bottom w:val="none" w:sz="0" w:space="0" w:color="auto"/>
        <w:right w:val="none" w:sz="0" w:space="0" w:color="auto"/>
      </w:divBdr>
      <w:divsChild>
        <w:div w:id="4826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laevang@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6C56-F0C0-4ED0-93A2-78854391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685</Words>
  <Characters>3701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Sanchez</dc:creator>
  <cp:keywords/>
  <dc:description/>
  <cp:lastModifiedBy>user</cp:lastModifiedBy>
  <cp:revision>5</cp:revision>
  <dcterms:created xsi:type="dcterms:W3CDTF">2017-10-28T11:29:00Z</dcterms:created>
  <dcterms:modified xsi:type="dcterms:W3CDTF">2019-01-14T09:55:00Z</dcterms:modified>
</cp:coreProperties>
</file>