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A8" w:rsidRDefault="00757576">
      <w:pPr>
        <w:ind w:left="0" w:firstLine="0"/>
      </w:pPr>
      <w:bookmarkStart w:id="0" w:name="_GoBack"/>
      <w:bookmarkEnd w:id="0"/>
      <w:r>
        <w:t xml:space="preserve">Jesús Tejada Giménez </w:t>
      </w:r>
    </w:p>
    <w:p w:rsidR="009D62A8" w:rsidRDefault="00757576">
      <w:pPr>
        <w:ind w:left="0" w:firstLine="0"/>
      </w:pPr>
      <w:r>
        <w:t xml:space="preserve">Editor jefe </w:t>
      </w:r>
    </w:p>
    <w:p w:rsidR="009D62A8" w:rsidRDefault="00757576">
      <w:pPr>
        <w:ind w:left="0" w:firstLine="0"/>
      </w:pPr>
      <w:r>
        <w:t xml:space="preserve">Revista Electrónica de LEEME </w:t>
      </w:r>
    </w:p>
    <w:p w:rsidR="009D62A8" w:rsidRDefault="00757576">
      <w:pPr>
        <w:spacing w:after="0" w:line="259" w:lineRule="auto"/>
        <w:ind w:left="0" w:firstLine="0"/>
        <w:jc w:val="left"/>
      </w:pPr>
      <w:r>
        <w:t xml:space="preserve"> </w:t>
      </w:r>
    </w:p>
    <w:p w:rsidR="009D62A8" w:rsidRDefault="00757576">
      <w:pPr>
        <w:spacing w:after="0" w:line="259" w:lineRule="auto"/>
        <w:ind w:left="0" w:firstLine="0"/>
        <w:jc w:val="left"/>
      </w:pPr>
      <w:r>
        <w:t xml:space="preserve"> </w:t>
      </w:r>
    </w:p>
    <w:p w:rsidR="009D62A8" w:rsidRDefault="00757576">
      <w:pPr>
        <w:ind w:left="0" w:firstLine="0"/>
      </w:pPr>
      <w:r>
        <w:t xml:space="preserve">Estimado Editor:  </w:t>
      </w:r>
    </w:p>
    <w:p w:rsidR="009D62A8" w:rsidRDefault="00757576">
      <w:pPr>
        <w:spacing w:after="0" w:line="259" w:lineRule="auto"/>
        <w:ind w:left="0" w:firstLine="0"/>
        <w:jc w:val="left"/>
      </w:pPr>
      <w:r>
        <w:t xml:space="preserve"> </w:t>
      </w:r>
    </w:p>
    <w:p w:rsidR="009D62A8" w:rsidRDefault="00757576">
      <w:pPr>
        <w:spacing w:after="0" w:line="237" w:lineRule="auto"/>
        <w:ind w:left="0" w:right="2" w:firstLine="0"/>
      </w:pPr>
      <w:r>
        <w:t xml:space="preserve">Los autores </w:t>
      </w:r>
      <w:r w:rsidRPr="00282FAF">
        <w:t>Rolando Angel-Alvarado</w:t>
      </w:r>
      <w:r>
        <w:t xml:space="preserve"> y </w:t>
      </w:r>
      <w:r w:rsidRPr="00282FAF">
        <w:t>Pablo Lira Cerda</w:t>
      </w:r>
      <w:r w:rsidR="00282FAF">
        <w:t>,</w:t>
      </w:r>
      <w:r>
        <w:t xml:space="preserve"> del artículo titulado</w:t>
      </w:r>
      <w:r w:rsidR="00282FAF">
        <w:t>:</w:t>
      </w:r>
      <w:r>
        <w:t xml:space="preserve"> </w:t>
      </w:r>
      <w:r w:rsidRPr="00282FAF">
        <w:t>Instalaciones y recursos educativos para la educación musical, según la representación social de los estudiantes chilenos:</w:t>
      </w:r>
      <w:r>
        <w:rPr>
          <w:b/>
        </w:rPr>
        <w:t xml:space="preserve"> </w:t>
      </w:r>
    </w:p>
    <w:p w:rsidR="009D62A8" w:rsidRDefault="00757576">
      <w:pPr>
        <w:spacing w:after="0" w:line="259" w:lineRule="auto"/>
        <w:ind w:left="0" w:firstLine="0"/>
        <w:jc w:val="left"/>
      </w:pPr>
      <w:r>
        <w:t xml:space="preserve"> </w:t>
      </w:r>
    </w:p>
    <w:p w:rsidR="009D62A8" w:rsidRDefault="00757576">
      <w:pPr>
        <w:numPr>
          <w:ilvl w:val="0"/>
          <w:numId w:val="1"/>
        </w:numPr>
        <w:ind w:hanging="361"/>
      </w:pPr>
      <w:r>
        <w:t xml:space="preserve">Declaramos que el artículo cumple con todas las normas éticas académicas exigidas para la investigación con seres humanos y han sido requeridos los correspondientes consentimientos de participación y de uso de la información en la investigación. </w:t>
      </w:r>
    </w:p>
    <w:p w:rsidR="009D62A8" w:rsidRDefault="00757576">
      <w:pPr>
        <w:numPr>
          <w:ilvl w:val="0"/>
          <w:numId w:val="1"/>
        </w:numPr>
        <w:ind w:hanging="361"/>
      </w:pPr>
      <w:r>
        <w:t xml:space="preserve">Declaramos que el artículo es original e inédito y no se ha enviado o se enviará a otras revistas mientras se espera la decisión de los editores de Revista Electrónica de LEEME. </w:t>
      </w:r>
    </w:p>
    <w:p w:rsidR="009D62A8" w:rsidRDefault="00757576">
      <w:pPr>
        <w:numPr>
          <w:ilvl w:val="0"/>
          <w:numId w:val="1"/>
        </w:numPr>
        <w:ind w:hanging="361"/>
      </w:pPr>
      <w:r>
        <w:t xml:space="preserve">Si el artículo incluye material cuyos derechos de autor pertenezcan a otras instituciones/organizaciones, declaramos haber obtenido todos los permisos necesarios para publicar y reproducir ese material y damos crédito de esas autorizaciones en los lugares que corresponden del texto. </w:t>
      </w:r>
    </w:p>
    <w:p w:rsidR="009D62A8" w:rsidRDefault="00757576">
      <w:pPr>
        <w:numPr>
          <w:ilvl w:val="0"/>
          <w:numId w:val="1"/>
        </w:numPr>
        <w:ind w:hanging="361"/>
      </w:pPr>
      <w:r>
        <w:t xml:space="preserve">Los autores de este artículo nos comprometemos a cooperar con el comité editorial en la retractación de errores y prácticas deshonestas si estas han sido demostradas con evidencias. </w:t>
      </w:r>
    </w:p>
    <w:p w:rsidR="009D62A8" w:rsidRDefault="00757576">
      <w:pPr>
        <w:numPr>
          <w:ilvl w:val="0"/>
          <w:numId w:val="1"/>
        </w:numPr>
        <w:ind w:hanging="361"/>
      </w:pPr>
      <w:r>
        <w:t xml:space="preserve">En caso de publicación, aceptamos la política de difusión de la revista en relación al licenciamiento del artículo bajo una licencia Creative Commons 4.0. </w:t>
      </w:r>
    </w:p>
    <w:p w:rsidR="009D62A8" w:rsidRDefault="00757576">
      <w:pPr>
        <w:spacing w:after="0" w:line="259" w:lineRule="auto"/>
        <w:ind w:left="0" w:firstLine="0"/>
        <w:jc w:val="left"/>
      </w:pPr>
      <w:r>
        <w:t xml:space="preserve"> </w:t>
      </w:r>
    </w:p>
    <w:p w:rsidR="009D62A8" w:rsidRDefault="00757576">
      <w:pPr>
        <w:spacing w:after="0" w:line="259" w:lineRule="auto"/>
        <w:ind w:left="0" w:right="1265" w:firstLine="0"/>
        <w:jc w:val="left"/>
      </w:pPr>
      <w:r>
        <w:t xml:space="preserve"> </w:t>
      </w:r>
    </w:p>
    <w:p w:rsidR="009D62A8" w:rsidRDefault="00757576">
      <w:pPr>
        <w:tabs>
          <w:tab w:val="center" w:pos="2288"/>
          <w:tab w:val="center" w:pos="6441"/>
        </w:tabs>
        <w:spacing w:after="0" w:line="259" w:lineRule="auto"/>
        <w:ind w:left="0" w:firstLine="0"/>
        <w:jc w:val="left"/>
      </w:pPr>
      <w:r>
        <w:rPr>
          <w:rFonts w:ascii="Calibri" w:eastAsia="Calibri" w:hAnsi="Calibri" w:cs="Calibri"/>
          <w:sz w:val="22"/>
        </w:rPr>
        <w:tab/>
      </w:r>
      <w:r>
        <w:rPr>
          <w:noProof/>
        </w:rPr>
        <w:drawing>
          <wp:inline distT="0" distB="0" distL="0" distR="0">
            <wp:extent cx="1453515" cy="1561719"/>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453515" cy="1561719"/>
                    </a:xfrm>
                    <a:prstGeom prst="rect">
                      <a:avLst/>
                    </a:prstGeom>
                  </pic:spPr>
                </pic:pic>
              </a:graphicData>
            </a:graphic>
          </wp:inline>
        </w:drawing>
      </w:r>
      <w:r>
        <w:t xml:space="preserve"> </w:t>
      </w:r>
      <w:r>
        <w:tab/>
      </w:r>
      <w:r>
        <w:rPr>
          <w:noProof/>
        </w:rPr>
        <w:drawing>
          <wp:inline distT="0" distB="0" distL="0" distR="0">
            <wp:extent cx="1488440" cy="154686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488440" cy="1546860"/>
                    </a:xfrm>
                    <a:prstGeom prst="rect">
                      <a:avLst/>
                    </a:prstGeom>
                  </pic:spPr>
                </pic:pic>
              </a:graphicData>
            </a:graphic>
          </wp:inline>
        </w:drawing>
      </w:r>
      <w:r>
        <w:t xml:space="preserve"> </w:t>
      </w:r>
    </w:p>
    <w:tbl>
      <w:tblPr>
        <w:tblStyle w:val="TableGrid"/>
        <w:tblW w:w="7362" w:type="dxa"/>
        <w:tblInd w:w="0" w:type="dxa"/>
        <w:tblLook w:val="04A0" w:firstRow="1" w:lastRow="0" w:firstColumn="1" w:lastColumn="0" w:noHBand="0" w:noVBand="1"/>
      </w:tblPr>
      <w:tblGrid>
        <w:gridCol w:w="5236"/>
        <w:gridCol w:w="2126"/>
      </w:tblGrid>
      <w:tr w:rsidR="009D62A8">
        <w:trPr>
          <w:trHeight w:val="1140"/>
        </w:trPr>
        <w:tc>
          <w:tcPr>
            <w:tcW w:w="5236" w:type="dxa"/>
            <w:tcBorders>
              <w:top w:val="nil"/>
              <w:left w:val="nil"/>
              <w:bottom w:val="nil"/>
              <w:right w:val="nil"/>
            </w:tcBorders>
          </w:tcPr>
          <w:p w:rsidR="009D62A8" w:rsidRDefault="00757576">
            <w:pPr>
              <w:spacing w:after="0" w:line="259" w:lineRule="auto"/>
              <w:ind w:left="1821" w:firstLine="0"/>
              <w:jc w:val="left"/>
            </w:pPr>
            <w:r>
              <w:t xml:space="preserve">Autor 1 </w:t>
            </w:r>
          </w:p>
          <w:p w:rsidR="009D62A8" w:rsidRDefault="00757576">
            <w:pPr>
              <w:spacing w:after="0" w:line="259" w:lineRule="auto"/>
              <w:ind w:left="937" w:firstLine="0"/>
              <w:jc w:val="left"/>
            </w:pPr>
            <w:r>
              <w:t xml:space="preserve">Rolando Angel-Alvarado </w:t>
            </w:r>
          </w:p>
          <w:p w:rsidR="009D62A8" w:rsidRDefault="00757576">
            <w:pPr>
              <w:spacing w:after="0" w:line="259" w:lineRule="auto"/>
              <w:ind w:left="0" w:firstLine="0"/>
              <w:jc w:val="left"/>
            </w:pPr>
            <w:r>
              <w:t xml:space="preserve"> </w:t>
            </w:r>
          </w:p>
          <w:p w:rsidR="009D62A8" w:rsidRDefault="00757576">
            <w:pPr>
              <w:spacing w:after="0" w:line="259" w:lineRule="auto"/>
              <w:ind w:left="0" w:firstLine="0"/>
              <w:jc w:val="left"/>
            </w:pPr>
            <w:r>
              <w:t xml:space="preserve"> </w:t>
            </w:r>
          </w:p>
        </w:tc>
        <w:tc>
          <w:tcPr>
            <w:tcW w:w="2126" w:type="dxa"/>
            <w:tcBorders>
              <w:top w:val="nil"/>
              <w:left w:val="nil"/>
              <w:bottom w:val="nil"/>
              <w:right w:val="nil"/>
            </w:tcBorders>
          </w:tcPr>
          <w:p w:rsidR="009D62A8" w:rsidRDefault="00282FAF" w:rsidP="00282FAF">
            <w:pPr>
              <w:spacing w:after="0" w:line="259" w:lineRule="auto"/>
              <w:ind w:left="290" w:firstLine="0"/>
              <w:jc w:val="center"/>
            </w:pPr>
            <w:r>
              <w:t xml:space="preserve">Autor </w:t>
            </w:r>
            <w:r w:rsidR="00757576">
              <w:t xml:space="preserve">2  </w:t>
            </w:r>
            <w:r>
              <w:t xml:space="preserve">          </w:t>
            </w:r>
            <w:r w:rsidR="00757576">
              <w:t>Pablo Lira Cerda</w:t>
            </w:r>
          </w:p>
        </w:tc>
      </w:tr>
    </w:tbl>
    <w:p w:rsidR="00282FAF" w:rsidRDefault="00757576">
      <w:pPr>
        <w:spacing w:after="0" w:line="259" w:lineRule="auto"/>
        <w:ind w:left="0" w:right="5" w:firstLine="0"/>
        <w:jc w:val="right"/>
      </w:pPr>
      <w:r>
        <w:t>22 de junio, 2017</w:t>
      </w:r>
    </w:p>
    <w:p w:rsidR="00282FAF" w:rsidRPr="00282FAF" w:rsidRDefault="00757576" w:rsidP="00282FAF">
      <w:pPr>
        <w:jc w:val="center"/>
        <w:rPr>
          <w:rFonts w:eastAsia="Calibri"/>
          <w:color w:val="auto"/>
          <w:sz w:val="28"/>
          <w:szCs w:val="28"/>
          <w:lang w:eastAsia="en-US"/>
        </w:rPr>
      </w:pPr>
      <w:r>
        <w:lastRenderedPageBreak/>
        <w:t xml:space="preserve"> </w:t>
      </w:r>
      <w:bookmarkStart w:id="1" w:name="_Hlk485666980"/>
      <w:r w:rsidR="00282FAF" w:rsidRPr="00282FAF">
        <w:rPr>
          <w:rFonts w:eastAsia="Calibri"/>
          <w:color w:val="auto"/>
          <w:sz w:val="28"/>
          <w:szCs w:val="28"/>
          <w:lang w:eastAsia="en-US"/>
        </w:rPr>
        <w:t>Instalaciones y recursos educativos para la educación musical, según la representación social de los estudiantes chilenos</w:t>
      </w:r>
    </w:p>
    <w:bookmarkEnd w:id="1"/>
    <w:p w:rsidR="00282FAF" w:rsidRPr="00282FAF" w:rsidRDefault="00282FAF" w:rsidP="00282FAF">
      <w:pPr>
        <w:spacing w:after="160" w:line="259" w:lineRule="auto"/>
        <w:ind w:left="0" w:firstLine="0"/>
        <w:jc w:val="center"/>
        <w:rPr>
          <w:rFonts w:eastAsia="Calibri"/>
          <w:color w:val="auto"/>
          <w:sz w:val="24"/>
          <w:szCs w:val="24"/>
          <w:lang w:val="en-GB" w:eastAsia="en-US"/>
        </w:rPr>
      </w:pPr>
      <w:r w:rsidRPr="00282FAF">
        <w:rPr>
          <w:rFonts w:eastAsia="Calibri"/>
          <w:color w:val="auto"/>
          <w:sz w:val="24"/>
          <w:szCs w:val="24"/>
          <w:lang w:val="en-GB" w:eastAsia="en-US"/>
        </w:rPr>
        <w:t>Educational facilities for Music Education, according to the social representation of the Chilean students</w:t>
      </w:r>
    </w:p>
    <w:p w:rsidR="00282FAF" w:rsidRPr="00282FAF" w:rsidRDefault="00282FAF" w:rsidP="00282FAF">
      <w:pPr>
        <w:spacing w:after="160" w:line="259" w:lineRule="auto"/>
        <w:ind w:left="0" w:firstLine="0"/>
        <w:rPr>
          <w:rFonts w:eastAsia="Calibri"/>
          <w:color w:val="auto"/>
          <w:sz w:val="24"/>
          <w:szCs w:val="24"/>
          <w:lang w:val="en-GB" w:eastAsia="en-US"/>
        </w:rPr>
      </w:pPr>
    </w:p>
    <w:p w:rsidR="00282FAF" w:rsidRPr="00282FAF" w:rsidRDefault="00282FAF" w:rsidP="00282FAF">
      <w:pPr>
        <w:spacing w:after="160" w:line="259" w:lineRule="auto"/>
        <w:ind w:left="0" w:firstLine="0"/>
        <w:rPr>
          <w:rFonts w:eastAsia="Calibri"/>
          <w:color w:val="auto"/>
          <w:sz w:val="24"/>
          <w:szCs w:val="24"/>
          <w:vertAlign w:val="superscript"/>
          <w:lang w:eastAsia="en-US"/>
        </w:rPr>
      </w:pPr>
      <w:r w:rsidRPr="00282FAF">
        <w:rPr>
          <w:rFonts w:eastAsia="Calibri"/>
          <w:color w:val="auto"/>
          <w:sz w:val="24"/>
          <w:szCs w:val="24"/>
          <w:lang w:eastAsia="en-US"/>
        </w:rPr>
        <w:t>R. Angel-Alvarado</w:t>
      </w:r>
      <w:r w:rsidRPr="00282FAF">
        <w:rPr>
          <w:rFonts w:eastAsia="Calibri"/>
          <w:color w:val="auto"/>
          <w:sz w:val="24"/>
          <w:szCs w:val="24"/>
          <w:vertAlign w:val="superscript"/>
          <w:lang w:eastAsia="en-US"/>
        </w:rPr>
        <w:t>1</w:t>
      </w:r>
      <w:r w:rsidRPr="00282FAF">
        <w:rPr>
          <w:rFonts w:eastAsia="Calibri"/>
          <w:color w:val="auto"/>
          <w:sz w:val="24"/>
          <w:szCs w:val="24"/>
          <w:lang w:eastAsia="en-US"/>
        </w:rPr>
        <w:t xml:space="preserve"> y P. Lira Cerda</w:t>
      </w:r>
      <w:r w:rsidRPr="00282FAF">
        <w:rPr>
          <w:rFonts w:eastAsia="Calibri"/>
          <w:color w:val="auto"/>
          <w:sz w:val="24"/>
          <w:szCs w:val="24"/>
          <w:vertAlign w:val="superscript"/>
          <w:lang w:eastAsia="en-US"/>
        </w:rPr>
        <w:t>2</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vertAlign w:val="superscript"/>
          <w:lang w:eastAsia="en-US"/>
        </w:rPr>
        <w:t>1</w:t>
      </w:r>
      <w:r w:rsidRPr="00282FAF">
        <w:rPr>
          <w:rFonts w:eastAsia="Calibri"/>
          <w:color w:val="auto"/>
          <w:sz w:val="24"/>
          <w:szCs w:val="24"/>
          <w:lang w:eastAsia="en-US"/>
        </w:rPr>
        <w:t xml:space="preserve">Universidad Pública de Navarra. Departamento de Psicología y Pedagogía. Campus de Arrosadia. Edificio Departamental Los Magnolios, C.P. 31006. Pamplona. Navarra – España. </w:t>
      </w:r>
    </w:p>
    <w:p w:rsidR="00282FAF" w:rsidRPr="00282FAF" w:rsidRDefault="00EE08F2" w:rsidP="00282FAF">
      <w:pPr>
        <w:spacing w:after="160" w:line="259" w:lineRule="auto"/>
        <w:ind w:left="0" w:firstLine="0"/>
        <w:rPr>
          <w:rFonts w:eastAsia="Calibri"/>
          <w:color w:val="auto"/>
          <w:sz w:val="24"/>
          <w:szCs w:val="24"/>
          <w:lang w:eastAsia="en-US"/>
        </w:rPr>
      </w:pPr>
      <w:hyperlink r:id="rId9" w:history="1">
        <w:r w:rsidR="00282FAF" w:rsidRPr="00282FAF">
          <w:rPr>
            <w:rFonts w:eastAsia="Calibri"/>
            <w:color w:val="0563C1"/>
            <w:sz w:val="24"/>
            <w:szCs w:val="24"/>
            <w:u w:val="single"/>
            <w:lang w:eastAsia="en-US"/>
          </w:rPr>
          <w:t>rolando.angel.alvarado@gmail.com</w:t>
        </w:r>
      </w:hyperlink>
      <w:r w:rsidR="00282FAF" w:rsidRPr="00282FAF">
        <w:rPr>
          <w:rFonts w:eastAsia="Calibri"/>
          <w:color w:val="auto"/>
          <w:sz w:val="24"/>
          <w:szCs w:val="24"/>
          <w:lang w:eastAsia="en-US"/>
        </w:rPr>
        <w:t xml:space="preserve"> </w:t>
      </w:r>
    </w:p>
    <w:p w:rsidR="00282FAF" w:rsidRPr="00282FAF" w:rsidRDefault="00282FAF" w:rsidP="00282FAF">
      <w:pPr>
        <w:spacing w:after="160" w:line="259" w:lineRule="auto"/>
        <w:ind w:left="0" w:firstLine="0"/>
        <w:rPr>
          <w:rFonts w:eastAsia="Calibri"/>
          <w:color w:val="auto"/>
          <w:sz w:val="24"/>
          <w:szCs w:val="24"/>
          <w:vertAlign w:val="superscript"/>
          <w:lang w:eastAsia="en-US"/>
        </w:rPr>
      </w:pP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vertAlign w:val="superscript"/>
          <w:lang w:eastAsia="en-US"/>
        </w:rPr>
        <w:t>2</w:t>
      </w:r>
      <w:r>
        <w:rPr>
          <w:rFonts w:eastAsia="Calibri"/>
          <w:color w:val="auto"/>
          <w:sz w:val="24"/>
          <w:szCs w:val="24"/>
          <w:lang w:eastAsia="en-US"/>
        </w:rPr>
        <w:t>Universidad de Playa Ancha de</w:t>
      </w:r>
      <w:r w:rsidRPr="00282FAF">
        <w:rPr>
          <w:rFonts w:eastAsia="Calibri"/>
          <w:color w:val="auto"/>
          <w:sz w:val="24"/>
          <w:szCs w:val="24"/>
          <w:lang w:eastAsia="en-US"/>
        </w:rPr>
        <w:t xml:space="preserve"> Ciencias de la Educación. Departamento Disciplinario de Artes Musicales. Facultad de Artes. Valparaíso, Chile.</w:t>
      </w:r>
    </w:p>
    <w:p w:rsidR="00282FAF" w:rsidRPr="00282FAF" w:rsidRDefault="00EE08F2" w:rsidP="00282FAF">
      <w:pPr>
        <w:spacing w:after="160" w:line="259" w:lineRule="auto"/>
        <w:ind w:left="0" w:firstLine="0"/>
        <w:rPr>
          <w:rFonts w:eastAsia="Calibri"/>
          <w:color w:val="auto"/>
          <w:sz w:val="24"/>
          <w:szCs w:val="24"/>
          <w:lang w:eastAsia="en-US"/>
        </w:rPr>
      </w:pPr>
      <w:hyperlink r:id="rId10" w:history="1">
        <w:r w:rsidR="00282FAF" w:rsidRPr="00282FAF">
          <w:rPr>
            <w:rFonts w:eastAsia="Calibri"/>
            <w:color w:val="0563C1"/>
            <w:sz w:val="24"/>
            <w:szCs w:val="24"/>
            <w:u w:val="single"/>
            <w:lang w:eastAsia="en-US"/>
          </w:rPr>
          <w:t>juan_pablo_lira@outlook.com</w:t>
        </w:r>
      </w:hyperlink>
      <w:r w:rsidR="00282FAF" w:rsidRPr="00282FAF">
        <w:rPr>
          <w:rFonts w:eastAsia="Calibri"/>
          <w:color w:val="auto"/>
          <w:sz w:val="24"/>
          <w:szCs w:val="24"/>
          <w:lang w:eastAsia="en-US"/>
        </w:rPr>
        <w:t xml:space="preserve"> </w:t>
      </w:r>
    </w:p>
    <w:p w:rsidR="00282FAF" w:rsidRPr="00282FAF" w:rsidRDefault="00282FAF" w:rsidP="00282FAF">
      <w:pPr>
        <w:spacing w:after="160" w:line="259" w:lineRule="auto"/>
        <w:ind w:left="0" w:firstLine="0"/>
        <w:rPr>
          <w:rFonts w:eastAsia="Calibri"/>
          <w:color w:val="auto"/>
          <w:sz w:val="24"/>
          <w:szCs w:val="24"/>
          <w:lang w:eastAsia="en-US"/>
        </w:rPr>
      </w:pP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Agradecimientos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Se agradece a la organización ROTARACT San Fernando por contribuir en el aseguramiento de los principios éticos académicos. Igualmente, se agradece a las escuelas participantes. Además, el primer autor agradece la beca concedida por la Comisión Nacional de Investigación Científica y Tecnológica de Chile para la realización de estudios doctorales. </w:t>
      </w: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p>
    <w:p w:rsidR="00282FAF" w:rsidRPr="00282FAF" w:rsidRDefault="00282FAF" w:rsidP="00282FAF">
      <w:pPr>
        <w:spacing w:after="160" w:line="259" w:lineRule="auto"/>
        <w:ind w:left="0" w:firstLine="0"/>
        <w:jc w:val="left"/>
        <w:rPr>
          <w:rFonts w:eastAsia="Calibri"/>
          <w:color w:val="auto"/>
          <w:sz w:val="24"/>
          <w:szCs w:val="24"/>
          <w:lang w:eastAsia="en-US"/>
        </w:rPr>
      </w:pPr>
      <w:r w:rsidRPr="00282FAF">
        <w:rPr>
          <w:rFonts w:eastAsia="Calibri"/>
          <w:color w:val="auto"/>
          <w:sz w:val="24"/>
          <w:szCs w:val="24"/>
          <w:lang w:eastAsia="en-US"/>
        </w:rPr>
        <w:lastRenderedPageBreak/>
        <w:t>RESUMEN</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En América Latina, la sala de música es casi inexistente en las escuelas de la mayoría de los países</w:t>
      </w:r>
      <w:bookmarkStart w:id="2" w:name="_Hlk485583075"/>
      <w:r w:rsidRPr="00282FAF">
        <w:rPr>
          <w:rFonts w:eastAsia="Calibri"/>
          <w:color w:val="auto"/>
          <w:sz w:val="24"/>
          <w:szCs w:val="24"/>
          <w:lang w:eastAsia="en-US"/>
        </w:rPr>
        <w:t xml:space="preserve">. En este escenario, Chile aparece como una excepción, aunque no necesariamente da cuenta de una democratización de la educación musical ya que tan sólo dos de cada cinco estudiantes asisten a escuelas que poseen un aula condicionada para el desarrollo de la clase de música. </w:t>
      </w:r>
      <w:bookmarkEnd w:id="2"/>
      <w:r w:rsidRPr="00282FAF">
        <w:rPr>
          <w:rFonts w:eastAsia="Calibri"/>
          <w:color w:val="auto"/>
          <w:sz w:val="24"/>
          <w:szCs w:val="24"/>
          <w:lang w:eastAsia="en-US"/>
        </w:rPr>
        <w:t>Así, la</w:t>
      </w:r>
      <w:r w:rsidRPr="00282FAF">
        <w:rPr>
          <w:rFonts w:eastAsia="Calibri"/>
          <w:color w:val="auto"/>
          <w:sz w:val="24"/>
          <w:szCs w:val="24"/>
          <w:lang w:val="es-ES" w:eastAsia="en-US"/>
        </w:rPr>
        <w:t xml:space="preserve"> presente investigación tiene por objetivo establecer si existen diferencias en la representación social que los estudiantes que asisten a las escuelas públicas de Chile han construido sobre la implementación escolar para la educación musical. La metodología responde al </w:t>
      </w:r>
      <w:r w:rsidRPr="00282FAF">
        <w:rPr>
          <w:rFonts w:eastAsia="Calibri"/>
          <w:color w:val="auto"/>
          <w:sz w:val="24"/>
          <w:szCs w:val="24"/>
          <w:lang w:eastAsia="en-US"/>
        </w:rPr>
        <w:t>diseño cuantitativo no experimental,</w:t>
      </w:r>
      <w:r w:rsidRPr="00282FAF">
        <w:rPr>
          <w:rFonts w:eastAsia="Calibri"/>
          <w:color w:val="auto"/>
          <w:sz w:val="24"/>
          <w:szCs w:val="24"/>
          <w:lang w:val="es-ES" w:eastAsia="en-US"/>
        </w:rPr>
        <w:t xml:space="preserve"> utilizando un muestreo probabilístico de tipo aleatorio estratificado porque los sujetos asisten a escuelas públicas dependientes de las Corporación de Educación del Municipio de San Fernando. Los resultados demuestran que </w:t>
      </w:r>
      <w:r w:rsidRPr="00282FAF">
        <w:rPr>
          <w:rFonts w:eastAsia="Calibri"/>
          <w:color w:val="auto"/>
          <w:sz w:val="24"/>
          <w:szCs w:val="24"/>
          <w:lang w:eastAsia="en-US"/>
        </w:rPr>
        <w:t>hay diferencias significativas en la representación social de los sujetos hacia la implementación escolar para la educación musical, tanto por la localización demográfica de las escuelas como por el nivel educativo de los estudiantes. Se concluye que el sistema público educacional chileno ha postergado la formación integral de la persona a tal punto, que la educación musical se ha transformado en una actividad fútil en el currículo escolar.</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Palabras claves: Instalaciones y recursos educativos; centro de material didáctico; educación musical; escolaridad obligatoria.</w:t>
      </w:r>
    </w:p>
    <w:p w:rsidR="00282FAF" w:rsidRPr="00282FAF" w:rsidRDefault="00282FAF" w:rsidP="00282FAF">
      <w:pPr>
        <w:spacing w:after="160" w:line="259" w:lineRule="auto"/>
        <w:ind w:left="0" w:firstLine="0"/>
        <w:jc w:val="left"/>
        <w:rPr>
          <w:rFonts w:eastAsia="Calibri"/>
          <w:color w:val="auto"/>
          <w:sz w:val="24"/>
          <w:szCs w:val="24"/>
          <w:lang w:val="en-GB" w:eastAsia="en-US"/>
        </w:rPr>
      </w:pPr>
      <w:r w:rsidRPr="00282FAF">
        <w:rPr>
          <w:rFonts w:eastAsia="Calibri"/>
          <w:color w:val="auto"/>
          <w:sz w:val="24"/>
          <w:szCs w:val="24"/>
          <w:lang w:val="en-GB" w:eastAsia="en-US"/>
        </w:rPr>
        <w:t>ABSTRACT</w:t>
      </w:r>
    </w:p>
    <w:p w:rsidR="00282FAF" w:rsidRPr="00282FAF" w:rsidRDefault="00282FAF" w:rsidP="00282FAF">
      <w:pPr>
        <w:spacing w:after="160" w:line="259" w:lineRule="auto"/>
        <w:ind w:left="0" w:firstLine="0"/>
        <w:rPr>
          <w:rFonts w:eastAsia="Calibri"/>
          <w:color w:val="auto"/>
          <w:sz w:val="24"/>
          <w:szCs w:val="24"/>
          <w:lang w:val="en-GB" w:eastAsia="en-US"/>
        </w:rPr>
      </w:pPr>
      <w:r w:rsidRPr="00282FAF">
        <w:rPr>
          <w:rFonts w:eastAsia="Calibri"/>
          <w:color w:val="auto"/>
          <w:sz w:val="24"/>
          <w:szCs w:val="24"/>
          <w:lang w:val="en-GB" w:eastAsia="en-US"/>
        </w:rPr>
        <w:t xml:space="preserve">In Latin America, the music classroom within schools of the most countries is almost inexistent. In this context, Chile arises as an exception, although it does not involve necessarily a democratisation </w:t>
      </w:r>
      <w:r w:rsidRPr="00282FAF">
        <w:rPr>
          <w:rFonts w:eastAsia="Calibri"/>
          <w:noProof/>
          <w:color w:val="auto"/>
          <w:sz w:val="24"/>
          <w:szCs w:val="24"/>
          <w:lang w:val="en-GB" w:eastAsia="en-US"/>
        </w:rPr>
        <w:t>of music education, due to the fact that</w:t>
      </w:r>
      <w:r w:rsidRPr="00282FAF">
        <w:rPr>
          <w:rFonts w:eastAsia="Calibri"/>
          <w:color w:val="auto"/>
          <w:sz w:val="24"/>
          <w:szCs w:val="24"/>
          <w:lang w:val="en-GB" w:eastAsia="en-US"/>
        </w:rPr>
        <w:t xml:space="preserve"> only two in five students attend to schools which have an appropriate classroom for carrying out a music class. This research aims to establish whether there are differences in social representation that student, who attend to Chilean public schools, have built about school implementation for music education. The methodology responds to non-experimental quantitative design, using a stratified random sample because the subjects attend to public schools which rely on Educational Department of the San Fernando Borough. The results demonstrate there are significant differences in the social representation of subjects in regard school implementation for music education, both by the demography of schools and educational level of the sample. In conclusion, the public education system of Chile has postponed the integral formation of pupils, up to the point that music education has become a trivial activity on the schooling curriculum.     </w:t>
      </w:r>
    </w:p>
    <w:p w:rsidR="00282FAF" w:rsidRPr="00282FAF" w:rsidRDefault="00282FAF" w:rsidP="00282FAF">
      <w:pPr>
        <w:spacing w:after="160" w:line="259" w:lineRule="auto"/>
        <w:ind w:left="0" w:firstLine="0"/>
        <w:jc w:val="left"/>
        <w:rPr>
          <w:rFonts w:eastAsia="Calibri"/>
          <w:color w:val="auto"/>
          <w:sz w:val="24"/>
          <w:szCs w:val="24"/>
          <w:lang w:val="en-GB" w:eastAsia="en-US"/>
        </w:rPr>
      </w:pPr>
      <w:r w:rsidRPr="00282FAF">
        <w:rPr>
          <w:rFonts w:eastAsia="Calibri"/>
          <w:color w:val="auto"/>
          <w:sz w:val="24"/>
          <w:szCs w:val="24"/>
          <w:lang w:val="en-GB" w:eastAsia="en-US"/>
        </w:rPr>
        <w:t>Keywords: Educational facilities; resource centres; music education; compulsory education.</w:t>
      </w:r>
    </w:p>
    <w:p w:rsidR="00282FAF" w:rsidRPr="00282FAF" w:rsidRDefault="00282FAF" w:rsidP="00282FAF">
      <w:pPr>
        <w:spacing w:after="160" w:line="259" w:lineRule="auto"/>
        <w:ind w:left="0" w:firstLine="0"/>
        <w:jc w:val="left"/>
        <w:rPr>
          <w:rFonts w:eastAsia="Calibri"/>
          <w:color w:val="auto"/>
          <w:sz w:val="24"/>
          <w:szCs w:val="24"/>
          <w:lang w:val="en-GB" w:eastAsia="en-US"/>
        </w:rPr>
      </w:pPr>
    </w:p>
    <w:p w:rsidR="00282FAF" w:rsidRPr="00282FAF" w:rsidRDefault="00282FAF" w:rsidP="00282FAF">
      <w:pPr>
        <w:spacing w:after="160" w:line="259" w:lineRule="auto"/>
        <w:ind w:left="0" w:firstLine="0"/>
        <w:jc w:val="left"/>
        <w:rPr>
          <w:rFonts w:eastAsia="Calibri"/>
          <w:color w:val="auto"/>
          <w:sz w:val="24"/>
          <w:szCs w:val="24"/>
          <w:lang w:val="en-GB" w:eastAsia="en-US"/>
        </w:rPr>
      </w:pPr>
    </w:p>
    <w:p w:rsidR="00282FAF" w:rsidRPr="00282FAF" w:rsidRDefault="00282FAF" w:rsidP="00282FAF">
      <w:pPr>
        <w:spacing w:after="160" w:line="259" w:lineRule="auto"/>
        <w:ind w:left="0" w:firstLine="0"/>
        <w:jc w:val="left"/>
        <w:rPr>
          <w:rFonts w:eastAsia="Calibri"/>
          <w:color w:val="auto"/>
          <w:sz w:val="24"/>
          <w:szCs w:val="24"/>
          <w:lang w:val="en-GB" w:eastAsia="en-US"/>
        </w:rPr>
      </w:pPr>
    </w:p>
    <w:p w:rsidR="00282FAF" w:rsidRPr="00282FAF" w:rsidRDefault="00282FAF" w:rsidP="00282FAF">
      <w:pPr>
        <w:spacing w:after="160" w:line="259" w:lineRule="auto"/>
        <w:ind w:left="0" w:firstLine="0"/>
        <w:jc w:val="left"/>
        <w:rPr>
          <w:rFonts w:eastAsia="Calibri"/>
          <w:color w:val="auto"/>
          <w:sz w:val="24"/>
          <w:szCs w:val="24"/>
          <w:lang w:val="en-GB" w:eastAsia="en-US"/>
        </w:rPr>
      </w:pPr>
    </w:p>
    <w:p w:rsidR="00282FAF" w:rsidRPr="00282FAF" w:rsidRDefault="00282FAF" w:rsidP="00A81908">
      <w:pPr>
        <w:numPr>
          <w:ilvl w:val="0"/>
          <w:numId w:val="2"/>
        </w:numPr>
        <w:spacing w:after="160" w:line="259" w:lineRule="auto"/>
        <w:ind w:left="357" w:hanging="357"/>
        <w:jc w:val="left"/>
        <w:rPr>
          <w:rFonts w:eastAsia="Calibri"/>
          <w:color w:val="auto"/>
          <w:sz w:val="24"/>
          <w:szCs w:val="24"/>
          <w:lang w:eastAsia="en-US"/>
        </w:rPr>
      </w:pPr>
      <w:r w:rsidRPr="00282FAF">
        <w:rPr>
          <w:rFonts w:eastAsia="Calibri"/>
          <w:color w:val="auto"/>
          <w:sz w:val="24"/>
          <w:szCs w:val="24"/>
          <w:lang w:eastAsia="en-US"/>
        </w:rPr>
        <w:lastRenderedPageBreak/>
        <w:t>Introducción</w:t>
      </w:r>
    </w:p>
    <w:p w:rsidR="00282FAF" w:rsidRPr="00282FAF" w:rsidRDefault="00282FAF" w:rsidP="00282FAF">
      <w:pPr>
        <w:spacing w:after="160" w:line="259" w:lineRule="auto"/>
        <w:ind w:left="0" w:firstLine="0"/>
        <w:rPr>
          <w:rFonts w:eastAsia="Calibri"/>
          <w:noProof/>
          <w:color w:val="auto"/>
          <w:sz w:val="24"/>
          <w:szCs w:val="24"/>
          <w:lang w:eastAsia="en-US"/>
        </w:rPr>
      </w:pPr>
      <w:r w:rsidRPr="00282FAF">
        <w:rPr>
          <w:rFonts w:eastAsia="Calibri"/>
          <w:noProof/>
          <w:color w:val="auto"/>
          <w:sz w:val="24"/>
          <w:szCs w:val="24"/>
          <w:lang w:eastAsia="en-US"/>
        </w:rPr>
        <w:t>Los recursos electrónicos y digitales se han vuelto una necesidad para las sociedades actuales porque permiten establecer vínculos con el mundo desde una perspectiva globalizada. Así, las escuelas se ven forzadas a incorporar las nuevas tecnologías en sus programas de estudio ya que representan elementos esenciales de la cultura sociocultural actual, que todo estudiante debe aprender a dominar para su adecuada integración en la comunidad.</w:t>
      </w:r>
    </w:p>
    <w:p w:rsidR="00282FAF" w:rsidRPr="00282FAF" w:rsidRDefault="00282FAF" w:rsidP="00282FAF">
      <w:pPr>
        <w:spacing w:after="160" w:line="259" w:lineRule="auto"/>
        <w:ind w:left="0" w:firstLine="0"/>
        <w:rPr>
          <w:rFonts w:eastAsia="Calibri"/>
          <w:noProof/>
          <w:color w:val="auto"/>
          <w:sz w:val="24"/>
          <w:szCs w:val="24"/>
          <w:lang w:eastAsia="en-US"/>
        </w:rPr>
      </w:pPr>
      <w:r w:rsidRPr="00282FAF">
        <w:rPr>
          <w:rFonts w:eastAsia="Calibri"/>
          <w:noProof/>
          <w:color w:val="auto"/>
          <w:sz w:val="24"/>
          <w:szCs w:val="24"/>
          <w:lang w:eastAsia="en-US"/>
        </w:rPr>
        <w:t xml:space="preserve">A pesar de la contigencia social por la incorporación de las plataformas electrónicas y digitales, se observan ciertas carencias en la educación musical latinoamericana. Lo más preocupante, sin duda, es que la sala de música es casi inexistente en la mayoría de las escuelas de América Latina, siendo Chile y Argentina las excepciones a la regla (Duarte, Gargiulo y Moreno, 2011). En latinoamerica, la falta de un recinto exclusivo para la educación musical va de la mano con otras privaciones musicales, como la falta de instrumentos musicales, equipos de sonido, material fonomecánico, entre otros. </w:t>
      </w:r>
    </w:p>
    <w:p w:rsidR="00282FAF" w:rsidRPr="00282FAF" w:rsidRDefault="00282FAF" w:rsidP="00282FAF">
      <w:pPr>
        <w:spacing w:after="160" w:line="259" w:lineRule="auto"/>
        <w:ind w:left="0" w:firstLine="0"/>
        <w:rPr>
          <w:rFonts w:eastAsia="Calibri"/>
          <w:noProof/>
          <w:color w:val="auto"/>
          <w:sz w:val="24"/>
          <w:szCs w:val="24"/>
          <w:lang w:eastAsia="en-US"/>
        </w:rPr>
      </w:pPr>
      <w:r w:rsidRPr="00282FAF">
        <w:rPr>
          <w:rFonts w:eastAsia="Calibri"/>
          <w:noProof/>
          <w:color w:val="auto"/>
          <w:sz w:val="24"/>
          <w:szCs w:val="24"/>
          <w:lang w:eastAsia="en-US"/>
        </w:rPr>
        <w:t>Si bien Chile es considerado una excepción ante la dramática evidencia continental, el país austral no logra dar cuenta de una democratización de la educación musical ya que tan sólo dos de cada cinco estudiantes asisten a escuelas que poseen sala de música (Duarte, Juareguiberry y Racimo, 2017). Por lo tanto, la cobertura infraestructural para la educación musical en Chile es una cuestión que esta muy lejos de ser superada.</w:t>
      </w:r>
    </w:p>
    <w:p w:rsidR="00282FAF" w:rsidRPr="00282FAF" w:rsidRDefault="00282FAF" w:rsidP="00282FAF">
      <w:pPr>
        <w:spacing w:after="160" w:line="259" w:lineRule="auto"/>
        <w:ind w:left="0" w:firstLine="0"/>
        <w:rPr>
          <w:rFonts w:eastAsia="Calibri"/>
          <w:noProof/>
          <w:color w:val="auto"/>
          <w:sz w:val="24"/>
          <w:szCs w:val="24"/>
          <w:lang w:val="es-ES" w:eastAsia="en-US"/>
        </w:rPr>
      </w:pPr>
      <w:r w:rsidRPr="00282FAF">
        <w:rPr>
          <w:rFonts w:eastAsia="Calibri"/>
          <w:noProof/>
          <w:color w:val="auto"/>
          <w:sz w:val="24"/>
          <w:szCs w:val="24"/>
          <w:lang w:eastAsia="en-US"/>
        </w:rPr>
        <w:t xml:space="preserve">Considerando estos antecedentes, el presente estudio se focaliza en las escuelas públicas </w:t>
      </w:r>
      <w:r w:rsidRPr="00282FAF">
        <w:rPr>
          <w:rFonts w:eastAsia="Calibri"/>
          <w:noProof/>
          <w:color w:val="auto"/>
          <w:sz w:val="24"/>
          <w:szCs w:val="24"/>
          <w:lang w:val="es-ES" w:eastAsia="en-US"/>
        </w:rPr>
        <w:t xml:space="preserve">dependientes de la Corporación de Educación de la Ilustre Municipalidad de San Fernando (Chile), porque dichos centros llevan a cabo la tarea de educar a niños, niñas y adolescentes que provienen de las familias con menores ingresos salariales. Esta característica de los centros públicos es determinante en el contexto chileno, porque hace resaltar que el sistema educacional no promueve la integración entre las distintas clases sociales, sino que fomenta la segregación de los estudiantes por variables de carácter socioeconómico (Bellei, 2013). </w:t>
      </w:r>
    </w:p>
    <w:p w:rsidR="00282FAF" w:rsidRPr="00282FAF" w:rsidRDefault="00282FAF" w:rsidP="00282FAF">
      <w:pPr>
        <w:spacing w:after="160" w:line="259" w:lineRule="auto"/>
        <w:ind w:left="0" w:firstLine="0"/>
        <w:rPr>
          <w:rFonts w:eastAsia="Calibri"/>
          <w:noProof/>
          <w:color w:val="auto"/>
          <w:sz w:val="24"/>
          <w:szCs w:val="24"/>
          <w:lang w:val="es-ES" w:eastAsia="en-US"/>
        </w:rPr>
      </w:pPr>
      <w:r w:rsidRPr="00282FAF">
        <w:rPr>
          <w:rFonts w:eastAsia="Calibri"/>
          <w:noProof/>
          <w:color w:val="auto"/>
          <w:sz w:val="24"/>
          <w:szCs w:val="24"/>
          <w:lang w:val="es-ES" w:eastAsia="en-US"/>
        </w:rPr>
        <w:t xml:space="preserve">Así, esta investigación tiene por objetivo establecer si existen diferencias en la representación social que los estudiantes que asisten a las escuelas públicas de San Fernando han construido sobre la implementación escolar para la educación musical. Para alcanzar este objetivo, se ejecuta primeramente un proceso de validación convergente </w:t>
      </w:r>
      <w:r w:rsidRPr="00282FAF">
        <w:rPr>
          <w:rFonts w:eastAsia="Calibri"/>
          <w:noProof/>
          <w:color w:val="auto"/>
          <w:sz w:val="24"/>
          <w:szCs w:val="24"/>
          <w:lang w:eastAsia="en-US"/>
        </w:rPr>
        <w:t>(Cohen, Cohen, West y Aiken, 2003) entre los distintos factores que posibilitan el análisis de la representación social. En segundo lugar, se comprueba si existen diferencias en la representación estudiantil, según la situación demográfica de las escuelas y, finalmente, se verifica la existencia de diferencias en la representación social, según el nivel educativo de los sujetos de la muestra.</w:t>
      </w:r>
    </w:p>
    <w:p w:rsidR="00A81908" w:rsidRPr="00282FAF" w:rsidRDefault="00282FAF" w:rsidP="00A81908">
      <w:pPr>
        <w:numPr>
          <w:ilvl w:val="0"/>
          <w:numId w:val="2"/>
        </w:numPr>
        <w:spacing w:after="160" w:line="259" w:lineRule="auto"/>
        <w:ind w:left="357" w:hanging="357"/>
        <w:rPr>
          <w:rFonts w:eastAsia="Calibri"/>
          <w:color w:val="auto"/>
          <w:sz w:val="24"/>
          <w:szCs w:val="24"/>
          <w:lang w:eastAsia="en-US"/>
        </w:rPr>
      </w:pPr>
      <w:r w:rsidRPr="00282FAF">
        <w:rPr>
          <w:rFonts w:eastAsia="Calibri"/>
          <w:color w:val="auto"/>
          <w:sz w:val="24"/>
          <w:szCs w:val="24"/>
          <w:lang w:eastAsia="en-US"/>
        </w:rPr>
        <w:t>Metodología</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Este estudio se ha configurado de acuerdo al diseño cuantitativo no experimental porque el objetivo busca establecer la existencia de diferencias en la representación social que los estudiantes han construido sobre implementación escolar para la educación musical. Así, en este estudio el constructo de implementación escolar comprende tanto el equipamiento </w:t>
      </w:r>
      <w:r w:rsidRPr="00282FAF">
        <w:rPr>
          <w:rFonts w:eastAsia="Calibri"/>
          <w:color w:val="auto"/>
          <w:sz w:val="24"/>
          <w:szCs w:val="24"/>
          <w:lang w:eastAsia="en-US"/>
        </w:rPr>
        <w:lastRenderedPageBreak/>
        <w:t xml:space="preserve">material que existe en la escuela, como el desarrollo de situaciones didácticas que impliquen el uso de recursos tecnológicos. </w:t>
      </w:r>
    </w:p>
    <w:p w:rsidR="00282FAF" w:rsidRPr="00282FAF" w:rsidRDefault="00282FAF" w:rsidP="00A81908">
      <w:pPr>
        <w:spacing w:after="160" w:line="259" w:lineRule="auto"/>
        <w:ind w:left="0" w:firstLine="0"/>
        <w:rPr>
          <w:rFonts w:eastAsia="Calibri"/>
          <w:color w:val="auto"/>
          <w:sz w:val="24"/>
          <w:szCs w:val="24"/>
          <w:lang w:val="es-ES" w:eastAsia="en-US"/>
        </w:rPr>
      </w:pPr>
      <w:r w:rsidRPr="00282FAF">
        <w:rPr>
          <w:rFonts w:eastAsia="Calibri"/>
          <w:color w:val="auto"/>
          <w:sz w:val="24"/>
          <w:szCs w:val="24"/>
          <w:lang w:val="es-ES" w:eastAsia="en-US"/>
        </w:rPr>
        <w:t xml:space="preserve">El tamaño de la muestra se ha calculado según los datos actualizados que publica </w:t>
      </w:r>
      <w:r w:rsidRPr="00282FAF">
        <w:rPr>
          <w:rFonts w:eastAsia="Calibri"/>
          <w:noProof/>
          <w:color w:val="auto"/>
          <w:sz w:val="24"/>
          <w:szCs w:val="24"/>
          <w:lang w:val="es-ES" w:eastAsia="en-US"/>
        </w:rPr>
        <w:t>la Agencia de Calidad de la Educación</w:t>
      </w:r>
      <w:r w:rsidRPr="00282FAF">
        <w:rPr>
          <w:rFonts w:eastAsia="Calibri"/>
          <w:color w:val="auto"/>
          <w:sz w:val="24"/>
          <w:szCs w:val="24"/>
          <w:lang w:val="es-ES" w:eastAsia="en-US"/>
        </w:rPr>
        <w:t xml:space="preserve"> a través de su página web </w:t>
      </w:r>
      <w:hyperlink r:id="rId11" w:history="1">
        <w:r w:rsidRPr="00282FAF">
          <w:rPr>
            <w:rFonts w:ascii="Calibri" w:eastAsia="Calibri" w:hAnsi="Calibri"/>
            <w:color w:val="0563C1"/>
            <w:sz w:val="22"/>
            <w:u w:val="single"/>
            <w:lang w:eastAsia="en-US"/>
          </w:rPr>
          <w:t>http://bases-nat.agenciaeducacion.cl/</w:t>
        </w:r>
      </w:hyperlink>
      <w:r w:rsidRPr="00282FAF">
        <w:rPr>
          <w:rFonts w:eastAsia="Calibri"/>
          <w:color w:val="auto"/>
          <w:sz w:val="24"/>
          <w:szCs w:val="24"/>
          <w:lang w:val="es-ES" w:eastAsia="en-US"/>
        </w:rPr>
        <w:t>, ya que indica la cantidad de estudiantes que han rendido pruebas externas en la ciudad de San Fernando en los siguientes niveles educativos establecidos por UNESCO (2013), por medio de la Clasificación Internacional Normalizada de la Educación [CINE]:</w:t>
      </w:r>
    </w:p>
    <w:p w:rsidR="00282FAF" w:rsidRPr="00282FAF" w:rsidRDefault="00282FAF" w:rsidP="00282FAF">
      <w:pPr>
        <w:numPr>
          <w:ilvl w:val="0"/>
          <w:numId w:val="7"/>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Nivel 1: Educación Primaria (6 a 10 años de edad).</w:t>
      </w:r>
    </w:p>
    <w:p w:rsidR="00282FAF" w:rsidRPr="00282FAF" w:rsidRDefault="00282FAF" w:rsidP="00282FAF">
      <w:pPr>
        <w:numPr>
          <w:ilvl w:val="0"/>
          <w:numId w:val="7"/>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 xml:space="preserve">Nivel 2: Educación Secundaria Baja (10 a 14 años de edad). </w:t>
      </w:r>
    </w:p>
    <w:p w:rsidR="00A81908" w:rsidRPr="00282FAF" w:rsidRDefault="00282FAF" w:rsidP="00A81908">
      <w:pPr>
        <w:numPr>
          <w:ilvl w:val="0"/>
          <w:numId w:val="7"/>
        </w:numPr>
        <w:spacing w:after="160" w:line="259" w:lineRule="auto"/>
        <w:ind w:left="357" w:hanging="357"/>
        <w:jc w:val="left"/>
        <w:rPr>
          <w:rFonts w:eastAsia="Calibri"/>
          <w:color w:val="auto"/>
          <w:sz w:val="24"/>
          <w:szCs w:val="24"/>
          <w:lang w:val="es-ES" w:eastAsia="en-US"/>
        </w:rPr>
      </w:pPr>
      <w:r w:rsidRPr="00282FAF">
        <w:rPr>
          <w:rFonts w:eastAsia="Calibri"/>
          <w:color w:val="auto"/>
          <w:sz w:val="24"/>
          <w:szCs w:val="24"/>
          <w:lang w:val="es-ES" w:eastAsia="en-US"/>
        </w:rPr>
        <w:t>Nivel 3: Educación Secundaria Alta (14 a 18 años de edad).</w:t>
      </w:r>
    </w:p>
    <w:p w:rsidR="00282FAF" w:rsidRPr="00282FAF" w:rsidRDefault="00282FAF" w:rsidP="00282FAF">
      <w:pPr>
        <w:spacing w:after="160" w:line="259" w:lineRule="auto"/>
        <w:ind w:left="0" w:firstLine="0"/>
        <w:rPr>
          <w:rFonts w:eastAsia="Calibri"/>
          <w:color w:val="auto"/>
          <w:sz w:val="24"/>
          <w:szCs w:val="24"/>
          <w:lang w:val="es-ES" w:eastAsia="en-US"/>
        </w:rPr>
      </w:pPr>
      <w:r w:rsidRPr="00282FAF">
        <w:rPr>
          <w:rFonts w:eastAsia="Calibri"/>
          <w:color w:val="auto"/>
          <w:sz w:val="24"/>
          <w:szCs w:val="24"/>
          <w:lang w:val="es-ES" w:eastAsia="en-US"/>
        </w:rPr>
        <w:t xml:space="preserve">Así, la muestra participante queda constituida por 499 sujetos. En términos técnicos, el tamaño de la muestra ha sido calculado en función de cuatro condiciones cuantitativas (Hair, </w:t>
      </w:r>
      <w:r w:rsidRPr="00282FAF">
        <w:rPr>
          <w:rFonts w:eastAsia="Calibri"/>
          <w:color w:val="auto"/>
          <w:sz w:val="24"/>
          <w:szCs w:val="24"/>
          <w:lang w:eastAsia="en-US"/>
        </w:rPr>
        <w:t>Wolfinbarger, Money, Samouel y Page</w:t>
      </w:r>
      <w:r w:rsidRPr="00282FAF">
        <w:rPr>
          <w:rFonts w:eastAsia="Calibri"/>
          <w:color w:val="auto"/>
          <w:sz w:val="24"/>
          <w:szCs w:val="24"/>
          <w:lang w:val="es-ES" w:eastAsia="en-US"/>
        </w:rPr>
        <w:t>, 2015).</w:t>
      </w:r>
    </w:p>
    <w:p w:rsidR="00282FAF" w:rsidRPr="00282FAF" w:rsidRDefault="00282FAF" w:rsidP="00282FAF">
      <w:pPr>
        <w:numPr>
          <w:ilvl w:val="0"/>
          <w:numId w:val="3"/>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Nivel de confianza del 98%</w:t>
      </w:r>
    </w:p>
    <w:p w:rsidR="00282FAF" w:rsidRPr="00282FAF" w:rsidRDefault="00282FAF" w:rsidP="00282FAF">
      <w:pPr>
        <w:numPr>
          <w:ilvl w:val="0"/>
          <w:numId w:val="3"/>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Error esperado o precisión del 5%</w:t>
      </w:r>
    </w:p>
    <w:p w:rsidR="00282FAF" w:rsidRPr="00282FAF" w:rsidRDefault="00282FAF" w:rsidP="00282FAF">
      <w:pPr>
        <w:numPr>
          <w:ilvl w:val="0"/>
          <w:numId w:val="3"/>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Proporción equivalente al 50%</w:t>
      </w:r>
    </w:p>
    <w:p w:rsidR="00282FAF" w:rsidRPr="00282FAF" w:rsidRDefault="00282FAF" w:rsidP="00A81908">
      <w:pPr>
        <w:numPr>
          <w:ilvl w:val="0"/>
          <w:numId w:val="3"/>
        </w:numPr>
        <w:spacing w:after="160" w:line="259" w:lineRule="auto"/>
        <w:ind w:left="357" w:hanging="357"/>
        <w:jc w:val="left"/>
        <w:rPr>
          <w:rFonts w:eastAsia="Calibri"/>
          <w:color w:val="auto"/>
          <w:sz w:val="24"/>
          <w:szCs w:val="24"/>
          <w:lang w:val="es-ES" w:eastAsia="en-US"/>
        </w:rPr>
      </w:pPr>
      <w:r w:rsidRPr="00282FAF">
        <w:rPr>
          <w:rFonts w:eastAsia="Calibri"/>
          <w:color w:val="auto"/>
          <w:sz w:val="24"/>
          <w:szCs w:val="24"/>
          <w:lang w:val="es-ES" w:eastAsia="en-US"/>
        </w:rPr>
        <w:t>Proporción esperada de pérdidas del 10%</w:t>
      </w:r>
    </w:p>
    <w:p w:rsidR="00282FAF" w:rsidRPr="00282FAF" w:rsidRDefault="00282FAF" w:rsidP="00282FAF">
      <w:pPr>
        <w:spacing w:after="160" w:line="259" w:lineRule="auto"/>
        <w:ind w:left="0" w:firstLine="0"/>
        <w:rPr>
          <w:rFonts w:eastAsia="Calibri"/>
          <w:color w:val="auto"/>
          <w:sz w:val="24"/>
          <w:szCs w:val="24"/>
          <w:lang w:val="es-ES" w:eastAsia="en-US"/>
        </w:rPr>
      </w:pPr>
      <w:r w:rsidRPr="00282FAF">
        <w:rPr>
          <w:rFonts w:eastAsia="Calibri"/>
          <w:color w:val="auto"/>
          <w:sz w:val="24"/>
          <w:szCs w:val="24"/>
          <w:lang w:val="es-ES" w:eastAsia="en-US"/>
        </w:rPr>
        <w:t>El muestreo probabilístico responde al tipo aleatorio estratificado porque los sujetos asisten a escuelas públicas dependientes de la Corporación de Educación del Ayuntamiento de San Fernando. Es importante señalar que los sujetos asisten a escuelas públicas situadas en contextos demográficos urbanos y rurales, por lo tanto, el estudio considera los siguientes criterios para realizar análisis comparativos entre los distintos niveles educativos y demográficos a los que pertenecen los estudiantes:</w:t>
      </w:r>
    </w:p>
    <w:p w:rsidR="00282FAF" w:rsidRPr="00282FAF" w:rsidRDefault="00282FAF" w:rsidP="00282FAF">
      <w:pPr>
        <w:numPr>
          <w:ilvl w:val="0"/>
          <w:numId w:val="6"/>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El muestreo es probabilístico, por conglomerado.</w:t>
      </w:r>
    </w:p>
    <w:p w:rsidR="00282FAF" w:rsidRPr="00282FAF" w:rsidRDefault="00282FAF" w:rsidP="00282FAF">
      <w:pPr>
        <w:numPr>
          <w:ilvl w:val="0"/>
          <w:numId w:val="6"/>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El tamaño de la muestra cumple las condiciones cuantitativas.</w:t>
      </w:r>
    </w:p>
    <w:p w:rsidR="00282FAF" w:rsidRDefault="00282FAF" w:rsidP="00282FAF">
      <w:pPr>
        <w:numPr>
          <w:ilvl w:val="0"/>
          <w:numId w:val="6"/>
        </w:numPr>
        <w:spacing w:after="160" w:line="259" w:lineRule="auto"/>
        <w:contextualSpacing/>
        <w:jc w:val="left"/>
        <w:rPr>
          <w:rFonts w:eastAsia="Calibri"/>
          <w:color w:val="auto"/>
          <w:sz w:val="24"/>
          <w:szCs w:val="24"/>
          <w:lang w:val="es-ES" w:eastAsia="en-US"/>
        </w:rPr>
      </w:pPr>
      <w:r w:rsidRPr="00282FAF">
        <w:rPr>
          <w:rFonts w:eastAsia="Calibri"/>
          <w:color w:val="auto"/>
          <w:sz w:val="24"/>
          <w:szCs w:val="24"/>
          <w:lang w:val="es-ES" w:eastAsia="en-US"/>
        </w:rPr>
        <w:t>Todos los conglomerados poseen muestras superiores a cinco veces el número de ítems del instrumento de recogida de datos (Lévy y Varela, 2006).</w:t>
      </w:r>
    </w:p>
    <w:p w:rsidR="00A81908" w:rsidRPr="00282FAF" w:rsidRDefault="00A81908" w:rsidP="00A81908">
      <w:pPr>
        <w:spacing w:after="160" w:line="259" w:lineRule="auto"/>
        <w:ind w:left="0" w:firstLine="0"/>
        <w:contextualSpacing/>
        <w:jc w:val="left"/>
        <w:rPr>
          <w:rFonts w:eastAsia="Calibri"/>
          <w:color w:val="auto"/>
          <w:sz w:val="24"/>
          <w:szCs w:val="24"/>
          <w:lang w:val="es-ES" w:eastAsia="en-US"/>
        </w:rPr>
      </w:pP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Contexto</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La ciudad de San Fernando está situada en la región del Libertador General Bernardo O’higgins, Chile. Según la Base de Matrículas del MINEDUC incluidos en los Reportes Estadísticos Comunales 2015, difundidos oficialmente por la Biblioteca del Congreso Nacional de Chile a través de su página web  </w:t>
      </w:r>
      <w:hyperlink r:id="rId12" w:anchor="Matr.C3.ADcula_por_dependencia_2012-2014" w:history="1">
        <w:r w:rsidRPr="00282FAF">
          <w:rPr>
            <w:rFonts w:eastAsia="Calibri"/>
            <w:color w:val="0563C1"/>
            <w:sz w:val="24"/>
            <w:szCs w:val="24"/>
            <w:u w:val="single"/>
            <w:lang w:eastAsia="en-US"/>
          </w:rPr>
          <w:t>http://reportescomunales.bcn.cl/2015/index.php/San_Fernando#Matr.C3.ADcula_por_dependencia_2012-2014</w:t>
        </w:r>
      </w:hyperlink>
      <w:r w:rsidRPr="00282FAF">
        <w:rPr>
          <w:rFonts w:eastAsia="Calibri"/>
          <w:color w:val="auto"/>
          <w:sz w:val="24"/>
          <w:szCs w:val="24"/>
          <w:lang w:eastAsia="en-US"/>
        </w:rPr>
        <w:t>, el año 2014 se ha registrado que un treinta y siete por ciento de los estudiantes cursan su educación obligatoria en escuelas públicas, bajando aquel porcentaje en un cinco por ciento en relación a la cantidad de sujetos adscritos durante el año 2012. En la región y en el país también se observa un decrecimiento de la población escolar en las escuelas públicas, por lo tanto, los datos comunales son consistentes con la tendencia macro-</w:t>
      </w:r>
      <w:r w:rsidRPr="00282FAF">
        <w:rPr>
          <w:rFonts w:eastAsia="Calibri"/>
          <w:color w:val="auto"/>
          <w:sz w:val="24"/>
          <w:szCs w:val="24"/>
          <w:lang w:eastAsia="en-US"/>
        </w:rPr>
        <w:lastRenderedPageBreak/>
        <w:t>social. En todo caso, la Organización para la Cooperación y Desarrollo Económicos [OCDE] señala que Chile es el único país miembro que invierte menos del ochenta por ciento del gasto total de la educación pública (OCDE, 2016), de modo que se impulsa la inequidad ya que las escuelas municipales se transforman en guetos sociales, donde asisten principalmente estudiantes provenientes de las familias con menores ingresos económicos y educandos con problemas de aprendizaje (Bellei, 2013).</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En cuanto a los datos recogidos por esta investigación, se observa que aproximadamente un tercio de los sujetos no puede conectarse a internet desde su hogar, lo que representa un problema ante la contingencia social actual, no obstante, la inequidad por conexión a internet es casi inexistente entre las escuelas chilenas (Duarte et al, 2017). Respecto a la actividad laboral de los padres y apoderados de la muestra participante, se observa que uno de cada cinco apoderados asume trabajos en el campo ligados con la cosecha y recogida de frutas y plantas, como también se observa la misma proporción de apoderados que desempeñan servicios en organizaciones públicas (maestros, técnicos paramédicos, policías, entre otros) y privadas (hostelería, estética, seguridad privada, etc.). Además, un doce por ciento ejerce labores de construcción o mecánica en forma dependiente o autónoma, mientras que uno de cada diez apoderados no está ejerciendo ninguna actividad remunerada. El resto de los padres y apoderados se distribuyen de manera similar en actividades ligadas al aseo y ornato, minería, transporte y ventas comerciales. Ciertamente, los sectores económicos reportados son los que registran las remuneraciones más bajas en el panorama empresarial chileno, porque los salarios no superan los quinientos-cincuenta euros mensuales (Durán y Kremerman, 2015).</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Instrumentos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Los datos cuantitativos se recogen a través de un breve cuestionario denominado Representación Estudiantil sobre la Implementación para la Educación Musical [REIEM], que ha sido usado para medir la representación que tienen los estudiantes sobre el equipamiento escolar para la educación musical. Responde a un instrumento no paramétrico configurado por nueve preguntas tipo Likert, según cinco grados de puntuación, donde la puntuación más baja es 1 (No corresponde) y la más alta es 5 (Corresponde absolutamente). REIEM ha sido validado a través de un panel de expertos, un Análisis Factorial Exploratorio y un Análisis Factorial Confirmatorio (CFI ≥ 0.9; TLI ≥ 0.9; RMSEA ≤ 0.08). Así, las nueve preguntas se distribuyen en tres factores: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INFRAESTRUCTURA: Indaga en los recursos físicos que la escuela posee para afrontar las clases de música o talleres extraescolares, por ejemplo, la existencia de instrumentos musicales y equipos de sonido en buen estado, como también la factibilidad para que el estudiante aprenda el instrumento musical de su interés.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ACTOS PÚBLICOS: Recopila información sobre la difusión del trabajo musical a través de los actos públicos, por ejemplo, la presentación de números musicales en los actos cívicos de la escuela, la invitación hacia los estudiantes para actuar en ceremonias institucionales y la existencia de talleres musicales extraescolares de interés para los estudiantes.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lastRenderedPageBreak/>
        <w:t xml:space="preserve">SITUACIÓN DIDÁCTICA: Recopila información sobre las situaciones didácticas que requieren obligatoriamente el uso de recursos tecnológicos para su ejercicio, por ejemplo, la audición de canciones para el entrenamiento auditivo o la danza, como también el uso de instrumentos musicales tradicionales (flauta dulce, guitarra, entre otros). </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Procedimientos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El programa SPSS-18 para Windows se utiliza para desarrollar los análisis cuantitativos. En primer lugar, se mide la consistencia interna de REIEM a través del </w:t>
      </w:r>
      <w:r w:rsidRPr="00282FAF">
        <w:rPr>
          <w:rFonts w:eastAsia="Calibri"/>
          <w:i/>
          <w:color w:val="auto"/>
          <w:sz w:val="24"/>
          <w:szCs w:val="24"/>
          <w:lang w:eastAsia="en-US"/>
        </w:rPr>
        <w:t>Alpha</w:t>
      </w:r>
      <w:r w:rsidRPr="00282FAF">
        <w:rPr>
          <w:rFonts w:eastAsia="Calibri"/>
          <w:color w:val="auto"/>
          <w:sz w:val="24"/>
          <w:szCs w:val="24"/>
          <w:lang w:eastAsia="en-US"/>
        </w:rPr>
        <w:t xml:space="preserve"> de Cronbach, cual debe registrar una confiabilidad aceptable superior a 0.7 (Davenport, Davidson, Liou y Love, 2015) para realizar el análisis de datos. Si la consistencia interna fuese aceptable, se crean las variables numéricas de INFRAESTRUCTURA, ACTOS y DIDÁCTICA, que responden respectivamente a los tres factores de REIEM, como también la variable ordinal REPRESENTACIÓN de acu</w:t>
      </w:r>
      <w:bookmarkStart w:id="3" w:name="_Hlk481505573"/>
      <w:r w:rsidRPr="00282FAF">
        <w:rPr>
          <w:rFonts w:eastAsia="Calibri"/>
          <w:color w:val="auto"/>
          <w:sz w:val="24"/>
          <w:szCs w:val="24"/>
          <w:lang w:eastAsia="en-US"/>
        </w:rPr>
        <w:t xml:space="preserve">erdo a la distribución K-medias </w:t>
      </w:r>
      <w:bookmarkEnd w:id="3"/>
      <w:r w:rsidRPr="00282FAF">
        <w:rPr>
          <w:rFonts w:eastAsia="Calibri"/>
          <w:color w:val="auto"/>
          <w:sz w:val="24"/>
          <w:szCs w:val="24"/>
          <w:lang w:eastAsia="en-US"/>
        </w:rPr>
        <w:t xml:space="preserve">que arrojen las tres variables numéricas. Con todo esto, se ejecuta un proceso de validación convergente, donde las variables numéricas son analizadas mediante una correlación bi-variada (Cohen et al, 2003) y luego, una regresión lineal múltiple a través del método pasos sucesivos (Gliner y Morgan, 2009) permite definir la variable numérica predictora de la variable dependiente REPRESENTACIÓN. </w:t>
      </w:r>
    </w:p>
    <w:p w:rsidR="00282FAF" w:rsidRPr="00282FAF" w:rsidRDefault="00282FAF" w:rsidP="00282FAF">
      <w:pPr>
        <w:spacing w:after="160" w:line="259" w:lineRule="auto"/>
        <w:ind w:left="0" w:firstLine="0"/>
        <w:rPr>
          <w:color w:val="auto"/>
          <w:sz w:val="24"/>
          <w:szCs w:val="24"/>
          <w:lang w:eastAsia="es-ES"/>
        </w:rPr>
      </w:pPr>
      <w:bookmarkStart w:id="4" w:name="_Hlk481516702"/>
      <w:r w:rsidRPr="00282FAF">
        <w:rPr>
          <w:rFonts w:eastAsia="Calibri"/>
          <w:color w:val="auto"/>
          <w:sz w:val="24"/>
          <w:szCs w:val="24"/>
          <w:lang w:eastAsia="en-US"/>
        </w:rPr>
        <w:t>A continuación, se analiza la distribución de los sujetos en los grados de REPRESENTACIÓN sobre la implementación escolar para la educación musical</w:t>
      </w:r>
      <w:bookmarkEnd w:id="4"/>
      <w:r w:rsidRPr="00282FAF">
        <w:rPr>
          <w:rFonts w:eastAsia="Calibri"/>
          <w:color w:val="auto"/>
          <w:sz w:val="24"/>
          <w:szCs w:val="24"/>
          <w:lang w:eastAsia="en-US"/>
        </w:rPr>
        <w:t xml:space="preserve">, según los conglomerados predeterminados (nivel educativo y demografía de la escuela). </w:t>
      </w:r>
      <w:r w:rsidRPr="00282FAF">
        <w:rPr>
          <w:color w:val="auto"/>
          <w:sz w:val="24"/>
          <w:szCs w:val="24"/>
          <w:lang w:eastAsia="es-ES"/>
        </w:rPr>
        <w:t>Con esta información y considerando que REIEM es una prueba no paramétrica, se ejecutan procedimientos no paramétricos (Kolmogorov-Smirnov, Levene y ANOVA) para determinar si no existe una distribución normal como tampoco homogeneidad de varianza y medias entre REPRESENTACIÓN y los conglomerados. Así, se verifica si existen diferencias significativas entre las mismas variables a través del Test U de Mann-Withney. Para estos fines, se cumple lo establecido por Lévy y Varela (2006) para el tamaño de los grupos muestrales, ya que todos los conglomerados son superiores a cinco veces el número de ítems de REIEM (n &gt; 45).</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Hipótesis </w:t>
      </w:r>
    </w:p>
    <w:p w:rsidR="00282FAF" w:rsidRPr="00282FAF" w:rsidRDefault="00282FAF" w:rsidP="00282FAF">
      <w:pPr>
        <w:numPr>
          <w:ilvl w:val="0"/>
          <w:numId w:val="4"/>
        </w:numPr>
        <w:spacing w:after="160" w:line="259" w:lineRule="auto"/>
        <w:jc w:val="left"/>
        <w:rPr>
          <w:rFonts w:eastAsia="Calibri"/>
          <w:color w:val="auto"/>
          <w:sz w:val="24"/>
          <w:szCs w:val="24"/>
          <w:lang w:eastAsia="en-US"/>
        </w:rPr>
      </w:pPr>
      <w:bookmarkStart w:id="5" w:name="_Hlk481506380"/>
      <w:r w:rsidRPr="00282FAF">
        <w:rPr>
          <w:rFonts w:eastAsia="Calibri"/>
          <w:color w:val="auto"/>
          <w:sz w:val="24"/>
          <w:szCs w:val="24"/>
          <w:lang w:eastAsia="en-US"/>
        </w:rPr>
        <w:t>Las correlaciones entre las variables numéricas son positivas y significativas (p. &lt; 0.05), pero moderadas o débiles (r ≤ 0.5).</w:t>
      </w:r>
    </w:p>
    <w:bookmarkEnd w:id="5"/>
    <w:p w:rsidR="00282FAF" w:rsidRPr="00282FAF" w:rsidRDefault="00282FAF" w:rsidP="00282FAF">
      <w:pPr>
        <w:numPr>
          <w:ilvl w:val="0"/>
          <w:numId w:val="4"/>
        </w:numPr>
        <w:spacing w:after="160" w:line="259" w:lineRule="auto"/>
        <w:jc w:val="left"/>
        <w:rPr>
          <w:rFonts w:eastAsia="Calibri"/>
          <w:color w:val="auto"/>
          <w:sz w:val="24"/>
          <w:szCs w:val="24"/>
          <w:lang w:eastAsia="en-US"/>
        </w:rPr>
      </w:pPr>
      <w:r w:rsidRPr="00282FAF">
        <w:rPr>
          <w:rFonts w:eastAsia="Calibri"/>
          <w:color w:val="auto"/>
          <w:sz w:val="24"/>
          <w:szCs w:val="24"/>
          <w:lang w:eastAsia="en-US"/>
        </w:rPr>
        <w:t>Todas las variables numéricas interactúan en la matriz durante la regresión lineal, siendo ACTOS la variable predictora.</w:t>
      </w:r>
    </w:p>
    <w:p w:rsidR="00282FAF" w:rsidRPr="00282FAF" w:rsidRDefault="00282FAF" w:rsidP="00282FAF">
      <w:pPr>
        <w:numPr>
          <w:ilvl w:val="0"/>
          <w:numId w:val="4"/>
        </w:numPr>
        <w:spacing w:after="160" w:line="259" w:lineRule="auto"/>
        <w:jc w:val="left"/>
        <w:rPr>
          <w:rFonts w:eastAsia="Calibri"/>
          <w:color w:val="auto"/>
          <w:sz w:val="24"/>
          <w:szCs w:val="24"/>
          <w:lang w:eastAsia="en-US"/>
        </w:rPr>
      </w:pPr>
      <w:r w:rsidRPr="00282FAF">
        <w:rPr>
          <w:rFonts w:eastAsia="Calibri"/>
          <w:noProof/>
          <w:color w:val="auto"/>
          <w:sz w:val="24"/>
          <w:szCs w:val="24"/>
          <w:lang w:eastAsia="en-US"/>
        </w:rPr>
        <w:t>Existen diferencias significativas entre los distintos grados de</w:t>
      </w:r>
      <w:r w:rsidRPr="00282FAF">
        <w:rPr>
          <w:rFonts w:eastAsia="Calibri"/>
          <w:color w:val="auto"/>
          <w:sz w:val="24"/>
          <w:szCs w:val="24"/>
          <w:lang w:eastAsia="en-US"/>
        </w:rPr>
        <w:t xml:space="preserve"> REPRESENTACIÓN y la situación demográfica de las escuelas (p. &lt; 0.05).</w:t>
      </w:r>
    </w:p>
    <w:p w:rsidR="00282FAF" w:rsidRDefault="00282FAF" w:rsidP="00282FAF">
      <w:pPr>
        <w:numPr>
          <w:ilvl w:val="0"/>
          <w:numId w:val="4"/>
        </w:numPr>
        <w:spacing w:after="160" w:line="259" w:lineRule="auto"/>
        <w:contextualSpacing/>
        <w:jc w:val="left"/>
        <w:rPr>
          <w:rFonts w:eastAsia="Calibri"/>
          <w:color w:val="auto"/>
          <w:sz w:val="24"/>
          <w:szCs w:val="24"/>
          <w:lang w:eastAsia="en-US"/>
        </w:rPr>
      </w:pPr>
      <w:r w:rsidRPr="00282FAF">
        <w:rPr>
          <w:rFonts w:eastAsia="Calibri"/>
          <w:noProof/>
          <w:color w:val="auto"/>
          <w:sz w:val="24"/>
          <w:szCs w:val="24"/>
          <w:lang w:eastAsia="en-US"/>
        </w:rPr>
        <w:t>Existen diferencias significativas entre los distintos grados de</w:t>
      </w:r>
      <w:r w:rsidRPr="00282FAF">
        <w:rPr>
          <w:rFonts w:eastAsia="Calibri"/>
          <w:color w:val="auto"/>
          <w:sz w:val="24"/>
          <w:szCs w:val="24"/>
          <w:lang w:eastAsia="en-US"/>
        </w:rPr>
        <w:t xml:space="preserve"> REPRESENTACIÓN y el nivel educativo de los sujetos (p. &lt; 0.05).</w:t>
      </w:r>
    </w:p>
    <w:p w:rsidR="00282FAF" w:rsidRPr="00282FAF" w:rsidRDefault="00282FAF" w:rsidP="00282FAF">
      <w:pPr>
        <w:spacing w:after="160" w:line="259" w:lineRule="auto"/>
        <w:ind w:left="0" w:firstLine="0"/>
        <w:rPr>
          <w:rFonts w:eastAsia="Calibri"/>
          <w:color w:val="auto"/>
          <w:sz w:val="24"/>
          <w:szCs w:val="24"/>
          <w:lang w:eastAsia="en-US"/>
        </w:rPr>
      </w:pPr>
    </w:p>
    <w:p w:rsidR="00282FAF" w:rsidRPr="00282FAF" w:rsidRDefault="00282FAF" w:rsidP="00A81908">
      <w:pPr>
        <w:numPr>
          <w:ilvl w:val="0"/>
          <w:numId w:val="2"/>
        </w:numPr>
        <w:spacing w:after="160" w:line="259" w:lineRule="auto"/>
        <w:ind w:left="357" w:hanging="357"/>
        <w:jc w:val="left"/>
        <w:rPr>
          <w:rFonts w:eastAsia="Calibri"/>
          <w:color w:val="auto"/>
          <w:sz w:val="24"/>
          <w:szCs w:val="24"/>
          <w:lang w:eastAsia="en-US"/>
        </w:rPr>
      </w:pPr>
      <w:r w:rsidRPr="00282FAF">
        <w:rPr>
          <w:rFonts w:eastAsia="Calibri"/>
          <w:color w:val="auto"/>
          <w:sz w:val="24"/>
          <w:szCs w:val="24"/>
          <w:lang w:eastAsia="en-US"/>
        </w:rPr>
        <w:lastRenderedPageBreak/>
        <w:t>Resultados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La consistencia interna (Davenport et al, 2015) de REIEM registra una confiabilidad aceptable (α &gt; 0.70). Este resultado permite crear las variables numéricas de INFRAESTRUCTURA, ACTOS y DIDÁCTICA, como también la variable ordinal REPRESENTACIÓN, de acuerdo a la distribución K-medias estableciendo tres categorías: NEGATIVA, NEUTRAL y POSITIVA. Todas estas variables han sido creadas para ejecutar un proceso de validación convergente.</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Las cuatro variables son analizadas a través de una correlación bi-variada (Cohen et al, 2003) para validar la primera hipótesis. El procedimiento muestra los siguientes resultados:</w:t>
      </w:r>
    </w:p>
    <w:p w:rsidR="00282FAF" w:rsidRPr="00282FAF" w:rsidRDefault="00282FAF" w:rsidP="00282FAF">
      <w:pPr>
        <w:numPr>
          <w:ilvl w:val="0"/>
          <w:numId w:val="5"/>
        </w:numPr>
        <w:spacing w:after="160" w:line="259" w:lineRule="auto"/>
        <w:jc w:val="left"/>
        <w:rPr>
          <w:rFonts w:eastAsia="Calibri"/>
          <w:color w:val="auto"/>
          <w:sz w:val="24"/>
          <w:szCs w:val="24"/>
          <w:lang w:eastAsia="en-US"/>
        </w:rPr>
      </w:pPr>
      <w:r w:rsidRPr="00282FAF">
        <w:rPr>
          <w:rFonts w:eastAsia="Calibri"/>
          <w:color w:val="auto"/>
          <w:sz w:val="24"/>
          <w:szCs w:val="24"/>
          <w:lang w:eastAsia="en-US"/>
        </w:rPr>
        <w:t xml:space="preserve">INFRAESTRUCTURA y ACTOS registran un coeficiente positivo moderado (r = +0.393) significativo (p. &lt; 0.05), por lo tanto, existe una moderada correlación significativa entre las variables numéricas. </w:t>
      </w:r>
    </w:p>
    <w:p w:rsidR="00282FAF" w:rsidRPr="00282FAF" w:rsidRDefault="00282FAF" w:rsidP="00282FAF">
      <w:pPr>
        <w:numPr>
          <w:ilvl w:val="0"/>
          <w:numId w:val="5"/>
        </w:numPr>
        <w:spacing w:after="160" w:line="259" w:lineRule="auto"/>
        <w:jc w:val="left"/>
        <w:rPr>
          <w:rFonts w:eastAsia="Calibri"/>
          <w:color w:val="auto"/>
          <w:sz w:val="24"/>
          <w:szCs w:val="24"/>
          <w:lang w:eastAsia="en-US"/>
        </w:rPr>
      </w:pPr>
      <w:r w:rsidRPr="00282FAF">
        <w:rPr>
          <w:rFonts w:eastAsia="Calibri"/>
          <w:color w:val="auto"/>
          <w:sz w:val="24"/>
          <w:szCs w:val="24"/>
          <w:lang w:eastAsia="en-US"/>
        </w:rPr>
        <w:t xml:space="preserve">INFRAESTRUCTURA y DIDÁCTICA alcanzan una magnitud de asociación significativa (p. &lt; 0.05) positiva débil (r = +0.162), de modo que existe una débil correlación significativa entre las variables numéricas. </w:t>
      </w:r>
    </w:p>
    <w:p w:rsidR="00282FAF" w:rsidRPr="00282FAF" w:rsidRDefault="00282FAF" w:rsidP="00282FAF">
      <w:pPr>
        <w:numPr>
          <w:ilvl w:val="0"/>
          <w:numId w:val="5"/>
        </w:numPr>
        <w:spacing w:after="160" w:line="259" w:lineRule="auto"/>
        <w:jc w:val="left"/>
        <w:rPr>
          <w:rFonts w:eastAsia="Calibri"/>
          <w:color w:val="auto"/>
          <w:sz w:val="24"/>
          <w:szCs w:val="24"/>
          <w:lang w:eastAsia="en-US"/>
        </w:rPr>
      </w:pPr>
      <w:r w:rsidRPr="00282FAF">
        <w:rPr>
          <w:rFonts w:eastAsia="Calibri"/>
          <w:color w:val="auto"/>
          <w:sz w:val="24"/>
          <w:szCs w:val="24"/>
          <w:lang w:eastAsia="en-US"/>
        </w:rPr>
        <w:t>ACTOS y DIDÁCTICA muestran un coeficiente positivo moderado (r = +0.420) significativo (p. &lt; 0.05), por lo tanto, existe una moderada correlación significativa entre las variables numéricas.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Estos resultados confirman la HIPÓTESIS 1 porque las correlaciones entre las variables numéricas son positivas moderadas o débiles (r ≤ 0.5) y significativas (p. &lt; 0.05). La correlación débil que existe entre INFRAESTRUCTURA y DIDÁCTICA da cuenta de la escasez y/o precariedad de los recursos tecnológicos (equipos de sonido, instrumentos, etc.) implementados para las situaciones didácticas en educación musical, según la perspectiva de los estudiantes. En las correlaciones moderadas, que también dan cuenta de la escasez y/o precariedad de los recursos tecnológicos, siempre interactúa la variable ACTOS con las demás variables, por lo que las ceremonias institucionales representan para los sujetos el espacio en que se utiliza la implementación musical de la escuela, tanto durante el montaje como en la presentación oficial.</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La regresión lineal múltiple través del método pasos sucesivos (Gliner y Morgan, 2009) demuestra la influencia de las variables numéricas sobre la variable dependiente REPRESENTACIÓN. Todas las variables numéricas han entrado secuencialmente a la matriz y ninguna ha sido eliminada a lo largo del procedimiento de regresión. ACTOS muestra la correlación más alta con la variable dependiente (R² = 45,6%), INFRAESTRUCTURA contribuye en la explicación de la REPRESENTACIÓN (R² = 58,7%) y finalmente, DIDÁCTICA también aporta significativamente en la explicación de la variable dependiente (R² = 66,1%). Según ANOVA, las varianzas explicadas por las variables numéricas son significativamente distintas a cero (p. &lt; 0.05). Así, estos resultados confirman la HIPÓTESIS 2 porque todas las variables numéricas interactúan en la matriz durante la regresión lineal, siendo ACTOS la variable predictora.</w:t>
      </w:r>
    </w:p>
    <w:p w:rsidR="00282FAF" w:rsidRPr="00282FAF" w:rsidRDefault="00282FAF" w:rsidP="00282FAF">
      <w:pPr>
        <w:autoSpaceDE w:val="0"/>
        <w:autoSpaceDN w:val="0"/>
        <w:adjustRightInd w:val="0"/>
        <w:spacing w:after="0" w:line="240" w:lineRule="auto"/>
        <w:ind w:left="0" w:firstLine="0"/>
        <w:rPr>
          <w:rFonts w:eastAsia="Calibri"/>
          <w:color w:val="auto"/>
          <w:sz w:val="24"/>
          <w:szCs w:val="24"/>
          <w:lang w:eastAsia="en-US"/>
        </w:rPr>
      </w:pPr>
      <w:r w:rsidRPr="00282FAF">
        <w:rPr>
          <w:rFonts w:eastAsia="Calibri"/>
          <w:color w:val="auto"/>
          <w:sz w:val="24"/>
          <w:szCs w:val="24"/>
          <w:lang w:eastAsia="en-US"/>
        </w:rPr>
        <w:lastRenderedPageBreak/>
        <w:t>En la distribución de la muestra, según la situación demográfica de la escuela y los grados de REPRESENTACIÓN sobre la implementación escolar para la educación musical (Tabla 1), se observa que los estudiantes de escuelas urbanas tienen una representación mucho más negativa que sus pares que asisten a centros rurales.</w:t>
      </w:r>
    </w:p>
    <w:p w:rsidR="00282FAF" w:rsidRPr="00282FAF" w:rsidRDefault="00282FAF" w:rsidP="00282FAF">
      <w:pPr>
        <w:autoSpaceDE w:val="0"/>
        <w:autoSpaceDN w:val="0"/>
        <w:adjustRightInd w:val="0"/>
        <w:spacing w:after="0" w:line="240" w:lineRule="auto"/>
        <w:ind w:left="0" w:firstLine="0"/>
        <w:jc w:val="left"/>
        <w:rPr>
          <w:rFonts w:eastAsia="Calibri"/>
          <w:color w:val="auto"/>
          <w:sz w:val="24"/>
          <w:szCs w:val="24"/>
          <w:lang w:eastAsia="en-US"/>
        </w:rPr>
      </w:pPr>
    </w:p>
    <w:tbl>
      <w:tblPr>
        <w:tblW w:w="8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7"/>
        <w:gridCol w:w="3552"/>
        <w:gridCol w:w="1043"/>
        <w:gridCol w:w="1192"/>
        <w:gridCol w:w="1045"/>
        <w:gridCol w:w="635"/>
      </w:tblGrid>
      <w:tr w:rsidR="00282FAF" w:rsidRPr="00282FAF" w:rsidTr="006F5A91">
        <w:trPr>
          <w:cantSplit/>
          <w:trHeight w:val="407"/>
          <w:tblHeader/>
        </w:trPr>
        <w:tc>
          <w:tcPr>
            <w:tcW w:w="8834" w:type="dxa"/>
            <w:gridSpan w:val="6"/>
            <w:tcBorders>
              <w:top w:val="nil"/>
              <w:left w:val="nil"/>
              <w:bottom w:val="nil"/>
              <w:right w:val="nil"/>
            </w:tcBorders>
            <w:shd w:val="clear" w:color="auto" w:fill="FFFFFF"/>
            <w:vAlign w:val="center"/>
          </w:tcPr>
          <w:p w:rsidR="00282FAF" w:rsidRPr="00282FAF" w:rsidRDefault="00282FAF" w:rsidP="00282FAF">
            <w:pPr>
              <w:autoSpaceDE w:val="0"/>
              <w:autoSpaceDN w:val="0"/>
              <w:adjustRightInd w:val="0"/>
              <w:spacing w:after="0" w:line="240" w:lineRule="auto"/>
              <w:ind w:left="60" w:right="60" w:firstLine="0"/>
              <w:rPr>
                <w:rFonts w:ascii="Arial" w:eastAsia="Calibri" w:hAnsi="Arial" w:cs="Arial"/>
                <w:bCs/>
                <w:sz w:val="18"/>
                <w:szCs w:val="18"/>
                <w:lang w:eastAsia="en-US"/>
              </w:rPr>
            </w:pPr>
            <w:bookmarkStart w:id="6" w:name="_Hlk481916692"/>
            <w:r w:rsidRPr="00282FAF">
              <w:rPr>
                <w:rFonts w:ascii="Arial" w:eastAsia="Calibri" w:hAnsi="Arial" w:cs="Arial"/>
                <w:bCs/>
                <w:sz w:val="18"/>
                <w:szCs w:val="18"/>
                <w:lang w:eastAsia="en-US"/>
              </w:rPr>
              <w:t>Tabla 1.</w:t>
            </w:r>
          </w:p>
          <w:p w:rsidR="00282FAF" w:rsidRPr="00282FAF" w:rsidRDefault="00282FAF" w:rsidP="00282FAF">
            <w:pPr>
              <w:autoSpaceDE w:val="0"/>
              <w:autoSpaceDN w:val="0"/>
              <w:adjustRightInd w:val="0"/>
              <w:spacing w:after="0" w:line="240" w:lineRule="auto"/>
              <w:ind w:left="60" w:right="60" w:firstLine="0"/>
              <w:rPr>
                <w:rFonts w:ascii="Arial" w:eastAsia="Calibri" w:hAnsi="Arial" w:cs="Arial"/>
                <w:sz w:val="18"/>
                <w:szCs w:val="18"/>
                <w:lang w:eastAsia="en-US"/>
              </w:rPr>
            </w:pPr>
            <w:r w:rsidRPr="00282FAF">
              <w:rPr>
                <w:rFonts w:ascii="Arial" w:eastAsia="Calibri" w:hAnsi="Arial" w:cs="Arial"/>
                <w:bCs/>
                <w:sz w:val="18"/>
                <w:szCs w:val="18"/>
                <w:lang w:eastAsia="en-US"/>
              </w:rPr>
              <w:t>Distribución de la muestra, según la situación demográfica de la escuela y el grado de REPRESENTACIÓN sobre la implementación escolar para la educación musical.</w:t>
            </w:r>
          </w:p>
        </w:tc>
      </w:tr>
      <w:tr w:rsidR="00282FAF" w:rsidRPr="00282FAF" w:rsidTr="006F5A91">
        <w:trPr>
          <w:cantSplit/>
          <w:trHeight w:val="80"/>
          <w:tblHeader/>
        </w:trPr>
        <w:tc>
          <w:tcPr>
            <w:tcW w:w="8834" w:type="dxa"/>
            <w:gridSpan w:val="6"/>
            <w:tcBorders>
              <w:top w:val="nil"/>
              <w:left w:val="nil"/>
              <w:bottom w:val="nil"/>
              <w:right w:val="nil"/>
            </w:tcBorders>
            <w:shd w:val="clear" w:color="auto" w:fill="FFFFFF"/>
            <w:vAlign w:val="bottom"/>
          </w:tcPr>
          <w:p w:rsidR="00282FAF" w:rsidRPr="00282FAF" w:rsidRDefault="00282FAF" w:rsidP="00282FAF">
            <w:pPr>
              <w:autoSpaceDE w:val="0"/>
              <w:autoSpaceDN w:val="0"/>
              <w:adjustRightInd w:val="0"/>
              <w:spacing w:after="0" w:line="240" w:lineRule="auto"/>
              <w:ind w:left="0" w:right="60" w:firstLine="0"/>
              <w:jc w:val="left"/>
              <w:rPr>
                <w:rFonts w:ascii="Arial" w:eastAsia="Calibri" w:hAnsi="Arial" w:cs="Arial"/>
                <w:sz w:val="18"/>
                <w:szCs w:val="18"/>
                <w:lang w:eastAsia="en-US"/>
              </w:rPr>
            </w:pPr>
          </w:p>
        </w:tc>
      </w:tr>
      <w:tr w:rsidR="00282FAF" w:rsidRPr="00282FAF" w:rsidTr="00282FAF">
        <w:trPr>
          <w:cantSplit/>
          <w:trHeight w:val="258"/>
          <w:tblHeader/>
        </w:trPr>
        <w:tc>
          <w:tcPr>
            <w:tcW w:w="4919" w:type="dxa"/>
            <w:gridSpan w:val="2"/>
            <w:vMerge w:val="restart"/>
            <w:tcBorders>
              <w:top w:val="single" w:sz="16" w:space="0" w:color="000000"/>
              <w:left w:val="single" w:sz="4" w:space="0" w:color="FFFFFF"/>
              <w:bottom w:val="single" w:sz="16" w:space="0" w:color="000000"/>
              <w:right w:val="single" w:sz="4" w:space="0" w:color="FFFFFF"/>
            </w:tcBorders>
            <w:shd w:val="clear" w:color="auto" w:fill="FFFFFF"/>
            <w:vAlign w:val="center"/>
          </w:tcPr>
          <w:p w:rsidR="00282FAF" w:rsidRPr="00282FAF" w:rsidRDefault="00282FAF" w:rsidP="00282FAF">
            <w:pPr>
              <w:autoSpaceDE w:val="0"/>
              <w:autoSpaceDN w:val="0"/>
              <w:adjustRightInd w:val="0"/>
              <w:spacing w:after="0" w:line="240" w:lineRule="auto"/>
              <w:ind w:left="0" w:firstLine="0"/>
              <w:jc w:val="center"/>
              <w:rPr>
                <w:rFonts w:eastAsia="Calibri"/>
                <w:color w:val="auto"/>
                <w:sz w:val="24"/>
                <w:szCs w:val="24"/>
                <w:lang w:eastAsia="en-US"/>
              </w:rPr>
            </w:pPr>
          </w:p>
        </w:tc>
        <w:tc>
          <w:tcPr>
            <w:tcW w:w="3280" w:type="dxa"/>
            <w:gridSpan w:val="3"/>
            <w:tcBorders>
              <w:top w:val="single" w:sz="16" w:space="0" w:color="000000"/>
              <w:left w:val="single" w:sz="4" w:space="0" w:color="FFFFFF"/>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REPRESENTACIÓN</w:t>
            </w:r>
          </w:p>
        </w:tc>
        <w:tc>
          <w:tcPr>
            <w:tcW w:w="635" w:type="dxa"/>
            <w:vMerge w:val="restart"/>
            <w:tcBorders>
              <w:top w:val="single" w:sz="16" w:space="0" w:color="000000"/>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Total</w:t>
            </w:r>
          </w:p>
        </w:tc>
      </w:tr>
      <w:tr w:rsidR="00282FAF" w:rsidRPr="00282FAF" w:rsidTr="00282FAF">
        <w:trPr>
          <w:cantSplit/>
          <w:trHeight w:val="108"/>
          <w:tblHeader/>
        </w:trPr>
        <w:tc>
          <w:tcPr>
            <w:tcW w:w="4919" w:type="dxa"/>
            <w:gridSpan w:val="2"/>
            <w:vMerge/>
            <w:tcBorders>
              <w:top w:val="single" w:sz="16" w:space="0" w:color="000000"/>
              <w:left w:val="single" w:sz="4" w:space="0" w:color="FFFFFF"/>
              <w:bottom w:val="single" w:sz="16" w:space="0" w:color="000000"/>
              <w:right w:val="single" w:sz="4" w:space="0" w:color="FFFFFF"/>
            </w:tcBorders>
            <w:shd w:val="clear" w:color="auto" w:fill="FFFFFF"/>
            <w:vAlign w:val="center"/>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1043"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NEGATIVA</w:t>
            </w:r>
          </w:p>
        </w:tc>
        <w:tc>
          <w:tcPr>
            <w:tcW w:w="1192"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NEUTRAL</w:t>
            </w:r>
          </w:p>
        </w:tc>
        <w:tc>
          <w:tcPr>
            <w:tcW w:w="1045"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POSITIVA</w:t>
            </w:r>
          </w:p>
        </w:tc>
        <w:tc>
          <w:tcPr>
            <w:tcW w:w="635" w:type="dxa"/>
            <w:vMerge/>
            <w:tcBorders>
              <w:top w:val="single" w:sz="16" w:space="0" w:color="000000"/>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r>
      <w:tr w:rsidR="00282FAF" w:rsidRPr="00282FAF" w:rsidTr="00282FAF">
        <w:trPr>
          <w:cantSplit/>
          <w:trHeight w:val="138"/>
          <w:tblHeader/>
        </w:trPr>
        <w:tc>
          <w:tcPr>
            <w:tcW w:w="1367" w:type="dxa"/>
            <w:vMerge w:val="restart"/>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ESCUELA</w:t>
            </w:r>
          </w:p>
        </w:tc>
        <w:tc>
          <w:tcPr>
            <w:tcW w:w="3552" w:type="dxa"/>
            <w:tcBorders>
              <w:top w:val="single" w:sz="16" w:space="0" w:color="000000"/>
              <w:left w:val="nil"/>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URBANA A</w:t>
            </w:r>
          </w:p>
        </w:tc>
        <w:tc>
          <w:tcPr>
            <w:tcW w:w="1043"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51</w:t>
            </w:r>
          </w:p>
        </w:tc>
        <w:tc>
          <w:tcPr>
            <w:tcW w:w="1192"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59</w:t>
            </w:r>
          </w:p>
        </w:tc>
        <w:tc>
          <w:tcPr>
            <w:tcW w:w="1045"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31</w:t>
            </w:r>
          </w:p>
        </w:tc>
        <w:tc>
          <w:tcPr>
            <w:tcW w:w="635"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141</w:t>
            </w:r>
          </w:p>
        </w:tc>
      </w:tr>
      <w:tr w:rsidR="00282FAF" w:rsidRPr="00282FAF" w:rsidTr="00282FAF">
        <w:trPr>
          <w:cantSplit/>
          <w:trHeight w:val="43"/>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RURAL A</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7</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26</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37</w:t>
            </w:r>
          </w:p>
        </w:tc>
        <w:tc>
          <w:tcPr>
            <w:tcW w:w="635" w:type="dxa"/>
            <w:tcBorders>
              <w:top w:val="single" w:sz="4" w:space="0" w:color="FFFFFF"/>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70</w:t>
            </w:r>
          </w:p>
        </w:tc>
      </w:tr>
      <w:tr w:rsidR="00282FAF" w:rsidRPr="00282FAF" w:rsidTr="00282FAF">
        <w:trPr>
          <w:cantSplit/>
          <w:trHeight w:val="74"/>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RURAL B</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29</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23</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39</w:t>
            </w:r>
          </w:p>
        </w:tc>
        <w:tc>
          <w:tcPr>
            <w:tcW w:w="63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91</w:t>
            </w:r>
          </w:p>
        </w:tc>
      </w:tr>
      <w:tr w:rsidR="00282FAF" w:rsidRPr="00282FAF" w:rsidTr="00282FAF">
        <w:trPr>
          <w:cantSplit/>
          <w:trHeight w:val="40"/>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RURAL C</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4</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4</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24</w:t>
            </w:r>
          </w:p>
        </w:tc>
        <w:tc>
          <w:tcPr>
            <w:tcW w:w="635" w:type="dxa"/>
            <w:tcBorders>
              <w:top w:val="nil"/>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32</w:t>
            </w:r>
          </w:p>
        </w:tc>
      </w:tr>
      <w:tr w:rsidR="00282FAF" w:rsidRPr="00282FAF" w:rsidTr="00282FAF">
        <w:trPr>
          <w:cantSplit/>
          <w:trHeight w:val="40"/>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URBANA B</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106</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19</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40</w:t>
            </w:r>
          </w:p>
        </w:tc>
        <w:tc>
          <w:tcPr>
            <w:tcW w:w="635" w:type="dxa"/>
            <w:tcBorders>
              <w:top w:val="single" w:sz="4" w:space="0" w:color="FFFFFF"/>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165</w:t>
            </w:r>
          </w:p>
        </w:tc>
      </w:tr>
      <w:tr w:rsidR="00282FAF" w:rsidRPr="00282FAF" w:rsidTr="00282FAF">
        <w:trPr>
          <w:cantSplit/>
          <w:trHeight w:val="256"/>
        </w:trPr>
        <w:tc>
          <w:tcPr>
            <w:tcW w:w="4919" w:type="dxa"/>
            <w:gridSpan w:val="2"/>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Total</w:t>
            </w:r>
          </w:p>
        </w:tc>
        <w:tc>
          <w:tcPr>
            <w:tcW w:w="1043"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194</w:t>
            </w:r>
          </w:p>
        </w:tc>
        <w:tc>
          <w:tcPr>
            <w:tcW w:w="1192"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129</w:t>
            </w:r>
          </w:p>
        </w:tc>
        <w:tc>
          <w:tcPr>
            <w:tcW w:w="1045"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176</w:t>
            </w:r>
          </w:p>
        </w:tc>
        <w:tc>
          <w:tcPr>
            <w:tcW w:w="635"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499</w:t>
            </w:r>
          </w:p>
        </w:tc>
      </w:tr>
    </w:tbl>
    <w:bookmarkEnd w:id="6"/>
    <w:p w:rsidR="00282FAF" w:rsidRPr="00282FAF" w:rsidRDefault="00282FAF" w:rsidP="00282FAF">
      <w:pPr>
        <w:autoSpaceDE w:val="0"/>
        <w:autoSpaceDN w:val="0"/>
        <w:adjustRightInd w:val="0"/>
        <w:spacing w:after="0" w:line="240" w:lineRule="auto"/>
        <w:ind w:left="0" w:firstLine="0"/>
        <w:jc w:val="left"/>
        <w:rPr>
          <w:rFonts w:eastAsia="Calibri"/>
          <w:color w:val="auto"/>
          <w:sz w:val="24"/>
          <w:szCs w:val="24"/>
          <w:lang w:eastAsia="en-US"/>
        </w:rPr>
      </w:pPr>
      <w:r w:rsidRPr="00282FAF">
        <w:rPr>
          <w:rFonts w:eastAsia="Calibri"/>
          <w:color w:val="auto"/>
          <w:sz w:val="24"/>
          <w:szCs w:val="24"/>
          <w:lang w:eastAsia="en-US"/>
        </w:rPr>
        <w:t>Fuente: Datos recopilados en REIEM.</w:t>
      </w:r>
    </w:p>
    <w:p w:rsidR="00A81908" w:rsidRDefault="00A81908" w:rsidP="00A81908">
      <w:pPr>
        <w:spacing w:after="160" w:line="259" w:lineRule="auto"/>
        <w:ind w:left="0" w:firstLine="0"/>
        <w:contextualSpacing/>
        <w:rPr>
          <w:rFonts w:eastAsia="Calibri"/>
          <w:color w:val="auto"/>
          <w:sz w:val="24"/>
          <w:szCs w:val="24"/>
          <w:lang w:eastAsia="en-US"/>
        </w:rPr>
      </w:pP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REIEM es una prueba no paramétrica, de modo que las variables REPRESENTACIÓN y situación demográfica de la escuela se someten a distintas pruebas estadísticas no paramétricas (Vilá y Bisquerra, 2014). El Test Kolmogorov-Smirnov demuestra que no hay una distribución normal entre ellas (p. &lt; 0.05), el Test de Levene reporta que todas las escuelas pertenecen a una misma zona geográfica y son administradas por una misma institución ya que existe homogeneidad de varianza entre las variables (p. &gt; 0.05) y, finalmente, el ANOVA demuestra que no existe igualdad de medias entre las variables (p. &lt; 0.05). Posteriormente, se verifica que existen diferencias significativas entre los grados de REPRESENTACIÓN a través del Test U de Mann-Withney, según la situación demográfica de las escuelas </w:t>
      </w:r>
      <w:bookmarkStart w:id="7" w:name="_Hlk480813841"/>
      <w:r w:rsidRPr="00282FAF">
        <w:rPr>
          <w:rFonts w:eastAsia="Calibri"/>
          <w:color w:val="auto"/>
          <w:sz w:val="24"/>
          <w:szCs w:val="24"/>
          <w:lang w:eastAsia="en-US"/>
        </w:rPr>
        <w:t>(p. &lt; 0.05), de modo que se confirma la HIPÓTESIS 3 ya que existen diferencias significativas entre los distintos grados de REPRESENTACIÓN según la localización demográfica de las escuelas.</w:t>
      </w:r>
      <w:bookmarkEnd w:id="7"/>
    </w:p>
    <w:p w:rsidR="00A81908"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Respecto a la distribución de la muestra según su nivel CINE y los grados de REPRESENTACIÓN sobre la implementación escolar para la educación musical (Tabla 2), se observa que los estudiantes de NIVEL 3 (Educación Secundaria Alta) tienen una representación negativa si se comparan con los estudiantes que asisten a los niveles más bajos</w:t>
      </w:r>
    </w:p>
    <w:tbl>
      <w:tblPr>
        <w:tblW w:w="8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7"/>
        <w:gridCol w:w="3552"/>
        <w:gridCol w:w="1043"/>
        <w:gridCol w:w="1192"/>
        <w:gridCol w:w="1045"/>
        <w:gridCol w:w="635"/>
      </w:tblGrid>
      <w:tr w:rsidR="00282FAF" w:rsidRPr="00282FAF" w:rsidTr="006F5A91">
        <w:trPr>
          <w:cantSplit/>
          <w:trHeight w:val="407"/>
          <w:tblHeader/>
        </w:trPr>
        <w:tc>
          <w:tcPr>
            <w:tcW w:w="8834" w:type="dxa"/>
            <w:gridSpan w:val="6"/>
            <w:tcBorders>
              <w:top w:val="nil"/>
              <w:left w:val="nil"/>
              <w:bottom w:val="nil"/>
              <w:right w:val="nil"/>
            </w:tcBorders>
            <w:shd w:val="clear" w:color="auto" w:fill="FFFFFF"/>
            <w:vAlign w:val="center"/>
          </w:tcPr>
          <w:p w:rsidR="00282FAF" w:rsidRPr="00282FAF" w:rsidRDefault="00282FAF" w:rsidP="00282FAF">
            <w:pPr>
              <w:autoSpaceDE w:val="0"/>
              <w:autoSpaceDN w:val="0"/>
              <w:adjustRightInd w:val="0"/>
              <w:spacing w:after="0" w:line="240" w:lineRule="auto"/>
              <w:ind w:left="60" w:right="60" w:firstLine="0"/>
              <w:rPr>
                <w:rFonts w:ascii="Arial" w:eastAsia="Calibri" w:hAnsi="Arial" w:cs="Arial"/>
                <w:bCs/>
                <w:sz w:val="18"/>
                <w:szCs w:val="18"/>
                <w:lang w:eastAsia="en-US"/>
              </w:rPr>
            </w:pPr>
            <w:r w:rsidRPr="00282FAF">
              <w:rPr>
                <w:rFonts w:ascii="Arial" w:eastAsia="Calibri" w:hAnsi="Arial" w:cs="Arial"/>
                <w:bCs/>
                <w:sz w:val="18"/>
                <w:szCs w:val="18"/>
                <w:lang w:eastAsia="en-US"/>
              </w:rPr>
              <w:t>Tabla 2.</w:t>
            </w:r>
          </w:p>
          <w:p w:rsidR="00282FAF" w:rsidRPr="00282FAF" w:rsidRDefault="00282FAF" w:rsidP="00282FAF">
            <w:pPr>
              <w:autoSpaceDE w:val="0"/>
              <w:autoSpaceDN w:val="0"/>
              <w:adjustRightInd w:val="0"/>
              <w:spacing w:after="0" w:line="240" w:lineRule="auto"/>
              <w:ind w:left="60" w:right="60" w:firstLine="0"/>
              <w:rPr>
                <w:rFonts w:ascii="Arial" w:eastAsia="Calibri" w:hAnsi="Arial" w:cs="Arial"/>
                <w:sz w:val="18"/>
                <w:szCs w:val="18"/>
                <w:lang w:eastAsia="en-US"/>
              </w:rPr>
            </w:pPr>
            <w:r w:rsidRPr="00282FAF">
              <w:rPr>
                <w:rFonts w:ascii="Arial" w:eastAsia="Calibri" w:hAnsi="Arial" w:cs="Arial"/>
                <w:bCs/>
                <w:sz w:val="18"/>
                <w:szCs w:val="18"/>
                <w:lang w:eastAsia="en-US"/>
              </w:rPr>
              <w:t>Distribución de la muestra, según el nivel CINE y el grado de REPRESENTACIÓN sobre la implementación escolar para la educación musical.</w:t>
            </w:r>
          </w:p>
        </w:tc>
      </w:tr>
      <w:tr w:rsidR="00282FAF" w:rsidRPr="00282FAF" w:rsidTr="006F5A91">
        <w:trPr>
          <w:cantSplit/>
          <w:trHeight w:val="80"/>
          <w:tblHeader/>
        </w:trPr>
        <w:tc>
          <w:tcPr>
            <w:tcW w:w="8834" w:type="dxa"/>
            <w:gridSpan w:val="6"/>
            <w:tcBorders>
              <w:top w:val="nil"/>
              <w:left w:val="nil"/>
              <w:bottom w:val="nil"/>
              <w:right w:val="nil"/>
            </w:tcBorders>
            <w:shd w:val="clear" w:color="auto" w:fill="FFFFFF"/>
            <w:vAlign w:val="bottom"/>
          </w:tcPr>
          <w:p w:rsidR="00282FAF" w:rsidRPr="00282FAF" w:rsidRDefault="00282FAF" w:rsidP="00282FAF">
            <w:pPr>
              <w:autoSpaceDE w:val="0"/>
              <w:autoSpaceDN w:val="0"/>
              <w:adjustRightInd w:val="0"/>
              <w:spacing w:after="0" w:line="240" w:lineRule="auto"/>
              <w:ind w:left="0" w:right="60" w:firstLine="0"/>
              <w:jc w:val="left"/>
              <w:rPr>
                <w:rFonts w:ascii="Arial" w:eastAsia="Calibri" w:hAnsi="Arial" w:cs="Arial"/>
                <w:sz w:val="18"/>
                <w:szCs w:val="18"/>
                <w:lang w:eastAsia="en-US"/>
              </w:rPr>
            </w:pPr>
          </w:p>
        </w:tc>
      </w:tr>
      <w:tr w:rsidR="00282FAF" w:rsidRPr="00282FAF" w:rsidTr="00282FAF">
        <w:trPr>
          <w:cantSplit/>
          <w:trHeight w:val="258"/>
          <w:tblHeader/>
        </w:trPr>
        <w:tc>
          <w:tcPr>
            <w:tcW w:w="4919" w:type="dxa"/>
            <w:gridSpan w:val="2"/>
            <w:vMerge w:val="restart"/>
            <w:tcBorders>
              <w:top w:val="single" w:sz="16" w:space="0" w:color="000000"/>
              <w:left w:val="single" w:sz="4" w:space="0" w:color="FFFFFF"/>
              <w:bottom w:val="single" w:sz="16" w:space="0" w:color="000000"/>
              <w:right w:val="single" w:sz="4" w:space="0" w:color="FFFFFF"/>
            </w:tcBorders>
            <w:shd w:val="clear" w:color="auto" w:fill="FFFFFF"/>
            <w:vAlign w:val="center"/>
          </w:tcPr>
          <w:p w:rsidR="00282FAF" w:rsidRPr="00282FAF" w:rsidRDefault="00282FAF" w:rsidP="00282FAF">
            <w:pPr>
              <w:autoSpaceDE w:val="0"/>
              <w:autoSpaceDN w:val="0"/>
              <w:adjustRightInd w:val="0"/>
              <w:spacing w:after="0" w:line="240" w:lineRule="auto"/>
              <w:ind w:left="0" w:firstLine="0"/>
              <w:jc w:val="center"/>
              <w:rPr>
                <w:rFonts w:eastAsia="Calibri"/>
                <w:color w:val="auto"/>
                <w:sz w:val="24"/>
                <w:szCs w:val="24"/>
                <w:lang w:eastAsia="en-US"/>
              </w:rPr>
            </w:pPr>
          </w:p>
        </w:tc>
        <w:tc>
          <w:tcPr>
            <w:tcW w:w="3280" w:type="dxa"/>
            <w:gridSpan w:val="3"/>
            <w:tcBorders>
              <w:top w:val="single" w:sz="16" w:space="0" w:color="000000"/>
              <w:left w:val="single" w:sz="4" w:space="0" w:color="FFFFFF"/>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REPRESENTACIÓN</w:t>
            </w:r>
          </w:p>
        </w:tc>
        <w:tc>
          <w:tcPr>
            <w:tcW w:w="635" w:type="dxa"/>
            <w:vMerge w:val="restart"/>
            <w:tcBorders>
              <w:top w:val="single" w:sz="16" w:space="0" w:color="000000"/>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Total</w:t>
            </w:r>
          </w:p>
        </w:tc>
      </w:tr>
      <w:tr w:rsidR="00282FAF" w:rsidRPr="00282FAF" w:rsidTr="00282FAF">
        <w:trPr>
          <w:cantSplit/>
          <w:trHeight w:val="108"/>
          <w:tblHeader/>
        </w:trPr>
        <w:tc>
          <w:tcPr>
            <w:tcW w:w="4919" w:type="dxa"/>
            <w:gridSpan w:val="2"/>
            <w:vMerge/>
            <w:tcBorders>
              <w:top w:val="single" w:sz="16" w:space="0" w:color="000000"/>
              <w:left w:val="single" w:sz="4" w:space="0" w:color="FFFFFF"/>
              <w:bottom w:val="single" w:sz="16" w:space="0" w:color="000000"/>
              <w:right w:val="single" w:sz="4" w:space="0" w:color="FFFFFF"/>
            </w:tcBorders>
            <w:shd w:val="clear" w:color="auto" w:fill="FFFFFF"/>
            <w:vAlign w:val="center"/>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1043"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NEGATIVA</w:t>
            </w:r>
          </w:p>
        </w:tc>
        <w:tc>
          <w:tcPr>
            <w:tcW w:w="1192"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NEUTRAL</w:t>
            </w:r>
          </w:p>
        </w:tc>
        <w:tc>
          <w:tcPr>
            <w:tcW w:w="1045" w:type="dxa"/>
            <w:tcBorders>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POSITIVA</w:t>
            </w:r>
          </w:p>
        </w:tc>
        <w:tc>
          <w:tcPr>
            <w:tcW w:w="635" w:type="dxa"/>
            <w:vMerge/>
            <w:tcBorders>
              <w:top w:val="single" w:sz="16" w:space="0" w:color="000000"/>
              <w:left w:val="single" w:sz="4" w:space="0" w:color="FFFFFF"/>
              <w:bottom w:val="single" w:sz="16" w:space="0" w:color="000000"/>
              <w:right w:val="single" w:sz="4" w:space="0" w:color="FFFFFF"/>
            </w:tcBorders>
            <w:shd w:val="clear" w:color="auto" w:fill="FFFFFF"/>
            <w:vAlign w:val="bottom"/>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r>
      <w:tr w:rsidR="00282FAF" w:rsidRPr="00282FAF" w:rsidTr="00282FAF">
        <w:trPr>
          <w:cantSplit/>
          <w:trHeight w:val="138"/>
          <w:tblHeader/>
        </w:trPr>
        <w:tc>
          <w:tcPr>
            <w:tcW w:w="1367" w:type="dxa"/>
            <w:vMerge w:val="restart"/>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CINE</w:t>
            </w:r>
          </w:p>
        </w:tc>
        <w:tc>
          <w:tcPr>
            <w:tcW w:w="3552" w:type="dxa"/>
            <w:tcBorders>
              <w:top w:val="single" w:sz="16" w:space="0" w:color="000000"/>
              <w:left w:val="nil"/>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NIVEL 1 (educación primaria)</w:t>
            </w:r>
          </w:p>
        </w:tc>
        <w:tc>
          <w:tcPr>
            <w:tcW w:w="1043"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28</w:t>
            </w:r>
          </w:p>
        </w:tc>
        <w:tc>
          <w:tcPr>
            <w:tcW w:w="1192"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17</w:t>
            </w:r>
          </w:p>
        </w:tc>
        <w:tc>
          <w:tcPr>
            <w:tcW w:w="1045"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38</w:t>
            </w:r>
          </w:p>
        </w:tc>
        <w:tc>
          <w:tcPr>
            <w:tcW w:w="635" w:type="dxa"/>
            <w:tcBorders>
              <w:top w:val="single" w:sz="16" w:space="0" w:color="000000"/>
              <w:left w:val="single" w:sz="4" w:space="0" w:color="FFFFFF"/>
              <w:bottom w:val="single" w:sz="4" w:space="0" w:color="FFFFFF"/>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83</w:t>
            </w:r>
          </w:p>
        </w:tc>
      </w:tr>
      <w:tr w:rsidR="00282FAF" w:rsidRPr="00282FAF" w:rsidTr="00282FAF">
        <w:trPr>
          <w:cantSplit/>
          <w:trHeight w:val="43"/>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NIVEL 2 (educación secundaria baja)</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60</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92</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99</w:t>
            </w:r>
          </w:p>
        </w:tc>
        <w:tc>
          <w:tcPr>
            <w:tcW w:w="635" w:type="dxa"/>
            <w:tcBorders>
              <w:top w:val="single" w:sz="4" w:space="0" w:color="FFFFFF"/>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251</w:t>
            </w:r>
          </w:p>
        </w:tc>
      </w:tr>
      <w:tr w:rsidR="00282FAF" w:rsidRPr="00282FAF" w:rsidTr="00282FAF">
        <w:trPr>
          <w:cantSplit/>
          <w:trHeight w:val="74"/>
          <w:tblHeader/>
        </w:trPr>
        <w:tc>
          <w:tcPr>
            <w:tcW w:w="1367" w:type="dxa"/>
            <w:vMerge/>
            <w:tcBorders>
              <w:top w:val="single" w:sz="16" w:space="0" w:color="000000"/>
              <w:left w:val="single" w:sz="4" w:space="0" w:color="FFFFFF"/>
              <w:bottom w:val="nil"/>
              <w:right w:val="nil"/>
            </w:tcBorders>
            <w:shd w:val="clear" w:color="auto" w:fill="FFFFFF"/>
          </w:tcPr>
          <w:p w:rsidR="00282FAF" w:rsidRPr="00282FAF" w:rsidRDefault="00282FAF" w:rsidP="00282FAF">
            <w:pPr>
              <w:autoSpaceDE w:val="0"/>
              <w:autoSpaceDN w:val="0"/>
              <w:adjustRightInd w:val="0"/>
              <w:spacing w:after="0" w:line="240" w:lineRule="auto"/>
              <w:ind w:left="0" w:firstLine="0"/>
              <w:jc w:val="left"/>
              <w:rPr>
                <w:rFonts w:ascii="Arial" w:eastAsia="Calibri" w:hAnsi="Arial" w:cs="Arial"/>
                <w:sz w:val="18"/>
                <w:szCs w:val="18"/>
                <w:lang w:eastAsia="en-US"/>
              </w:rPr>
            </w:pPr>
          </w:p>
        </w:tc>
        <w:tc>
          <w:tcPr>
            <w:tcW w:w="3552" w:type="dxa"/>
            <w:tcBorders>
              <w:top w:val="nil"/>
              <w:left w:val="nil"/>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NIVEL 3 (educación secundaria alta)</w:t>
            </w:r>
          </w:p>
        </w:tc>
        <w:tc>
          <w:tcPr>
            <w:tcW w:w="1043"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106</w:t>
            </w:r>
          </w:p>
        </w:tc>
        <w:tc>
          <w:tcPr>
            <w:tcW w:w="1192"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20</w:t>
            </w:r>
          </w:p>
        </w:tc>
        <w:tc>
          <w:tcPr>
            <w:tcW w:w="104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39</w:t>
            </w:r>
          </w:p>
        </w:tc>
        <w:tc>
          <w:tcPr>
            <w:tcW w:w="635" w:type="dxa"/>
            <w:tcBorders>
              <w:top w:val="nil"/>
              <w:left w:val="single" w:sz="4" w:space="0" w:color="FFFFFF"/>
              <w:bottom w:val="nil"/>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165</w:t>
            </w:r>
          </w:p>
        </w:tc>
      </w:tr>
      <w:tr w:rsidR="00282FAF" w:rsidRPr="00282FAF" w:rsidTr="00282FAF">
        <w:trPr>
          <w:cantSplit/>
          <w:trHeight w:val="256"/>
        </w:trPr>
        <w:tc>
          <w:tcPr>
            <w:tcW w:w="4919" w:type="dxa"/>
            <w:gridSpan w:val="2"/>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left"/>
              <w:rPr>
                <w:rFonts w:ascii="Arial" w:eastAsia="Calibri" w:hAnsi="Arial" w:cs="Arial"/>
                <w:sz w:val="18"/>
                <w:szCs w:val="18"/>
                <w:lang w:eastAsia="en-US"/>
              </w:rPr>
            </w:pPr>
            <w:r w:rsidRPr="00282FAF">
              <w:rPr>
                <w:rFonts w:ascii="Arial" w:eastAsia="Calibri" w:hAnsi="Arial" w:cs="Arial"/>
                <w:sz w:val="18"/>
                <w:szCs w:val="18"/>
                <w:lang w:eastAsia="en-US"/>
              </w:rPr>
              <w:t>Total</w:t>
            </w:r>
          </w:p>
        </w:tc>
        <w:tc>
          <w:tcPr>
            <w:tcW w:w="1043"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194</w:t>
            </w:r>
          </w:p>
        </w:tc>
        <w:tc>
          <w:tcPr>
            <w:tcW w:w="1192"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129</w:t>
            </w:r>
          </w:p>
        </w:tc>
        <w:tc>
          <w:tcPr>
            <w:tcW w:w="1045"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176</w:t>
            </w:r>
          </w:p>
        </w:tc>
        <w:tc>
          <w:tcPr>
            <w:tcW w:w="635" w:type="dxa"/>
            <w:tcBorders>
              <w:top w:val="nil"/>
              <w:left w:val="single" w:sz="4" w:space="0" w:color="FFFFFF"/>
              <w:bottom w:val="single" w:sz="16" w:space="0" w:color="000000"/>
              <w:right w:val="single" w:sz="4" w:space="0" w:color="FFFFFF"/>
            </w:tcBorders>
            <w:shd w:val="clear" w:color="auto" w:fill="FFFFFF"/>
          </w:tcPr>
          <w:p w:rsidR="00282FAF" w:rsidRPr="00282FAF" w:rsidRDefault="00282FAF" w:rsidP="00282FAF">
            <w:pPr>
              <w:autoSpaceDE w:val="0"/>
              <w:autoSpaceDN w:val="0"/>
              <w:adjustRightInd w:val="0"/>
              <w:spacing w:after="0" w:line="240" w:lineRule="auto"/>
              <w:ind w:left="60" w:right="60" w:firstLine="0"/>
              <w:jc w:val="center"/>
              <w:rPr>
                <w:rFonts w:ascii="Arial" w:eastAsia="Calibri" w:hAnsi="Arial" w:cs="Arial"/>
                <w:sz w:val="18"/>
                <w:szCs w:val="18"/>
                <w:lang w:eastAsia="en-US"/>
              </w:rPr>
            </w:pPr>
            <w:r w:rsidRPr="00282FAF">
              <w:rPr>
                <w:rFonts w:ascii="Arial" w:eastAsia="Calibri" w:hAnsi="Arial" w:cs="Arial"/>
                <w:sz w:val="18"/>
                <w:szCs w:val="18"/>
                <w:lang w:eastAsia="en-US"/>
              </w:rPr>
              <w:t>499</w:t>
            </w:r>
          </w:p>
        </w:tc>
      </w:tr>
    </w:tbl>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Fuente: Datos recopilados en REIEM.</w:t>
      </w:r>
    </w:p>
    <w:p w:rsidR="00282FAF" w:rsidRPr="00282FAF" w:rsidRDefault="00282FAF" w:rsidP="00A81908">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lastRenderedPageBreak/>
        <w:t>Se replican las pruebas estadísticas no paramétricas, sustituyendo la variable demográfica por CINE, para su análisis con REPRESENTACIÓN. El Test Kolmogorov-Smirnov demuestra que no hay una distribución normal (p. &lt; 0.05) entre las variables, el Test de Levene confirma que no hay homogeneidad de varianza (p. &lt; 0.05) entre las mismas variables y finalmente, el ANOVA demuestra que tampoco existe igualdad de medias (p. &lt; 0.05) entre ellas. Posteriormente, se comprueba que existen diferencias significativas entre los grados de REPRESENTACIÓN a través del Test U de Mann-Withney, según la variable CINE (p. &lt; 0.05), de modo que se confirma la HIPÓTESIS 4 ya que existen diferencias significativas entre los distintos grados de REPRESENTACIÓN según el nivel educativo de los sujetos.</w:t>
      </w:r>
    </w:p>
    <w:p w:rsidR="00282FAF" w:rsidRPr="00282FAF" w:rsidRDefault="00282FAF" w:rsidP="00A81908">
      <w:pPr>
        <w:numPr>
          <w:ilvl w:val="0"/>
          <w:numId w:val="2"/>
        </w:numPr>
        <w:spacing w:after="160" w:line="259" w:lineRule="auto"/>
        <w:ind w:left="357" w:hanging="357"/>
        <w:jc w:val="left"/>
        <w:rPr>
          <w:rFonts w:eastAsia="Calibri"/>
          <w:color w:val="auto"/>
          <w:sz w:val="24"/>
          <w:szCs w:val="24"/>
          <w:lang w:eastAsia="en-US"/>
        </w:rPr>
      </w:pPr>
      <w:r w:rsidRPr="00282FAF">
        <w:rPr>
          <w:rFonts w:eastAsia="Calibri"/>
          <w:color w:val="auto"/>
          <w:sz w:val="24"/>
          <w:szCs w:val="24"/>
          <w:lang w:eastAsia="en-US"/>
        </w:rPr>
        <w:t>Discusión</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Las Tecnologías de la Información y Comunicación [TIC] están jugando un rol fundamental en la sociedad actual, siendo su implementación en las escuelas necesaria porque la contingencia social lo requiere. No obstante, en Latinoamérica su incorporación en el ámbito de la educación musical debe implicar una serie de medidas remediales ya que, en términos infraestructurales, la sala de música es casi inexistente en las escuelas de la mayoría de los países (Duarte et al, 2011). </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Chile se considera una excepción en América Latina, sin embargo, no registra un porcentaje mucho más alentador que el resto de países porque tan sólo dos de cada cinco estudiantes asisten a escuelas que poseen sala de música (Duarte et al, 2017). Las escuelas chilenas reconocen que no cuentan con salones de música, pero ese no es el mayor problema, de hecho, Bardone y Gargiulo (2014) reportan que la superficie del aula en Chile es la menor de la región ya que cuarenta estudiantes conviven en un aula de cuarenta y cuatro metros cuadrados, de modo que prevalece la frontalidad en el sistema de enseñanza, dejando poco espacio para el trabajo grupal y las situaciones didácticas dinámicas. </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En todo caso, el gobierno de Chile a través del </w:t>
      </w:r>
      <w:r w:rsidRPr="00282FAF">
        <w:rPr>
          <w:rFonts w:eastAsia="Calibri"/>
          <w:noProof/>
          <w:color w:val="auto"/>
          <w:sz w:val="24"/>
          <w:szCs w:val="24"/>
          <w:lang w:eastAsia="en-US"/>
        </w:rPr>
        <w:t>Consejo Nacional de la Cultura y las Artes [CNCA] y el Ministerio de Educación [MINEDUC</w:t>
      </w:r>
      <w:r w:rsidRPr="00282FAF">
        <w:rPr>
          <w:rFonts w:eastAsia="Calibri"/>
          <w:color w:val="auto"/>
          <w:sz w:val="24"/>
          <w:szCs w:val="24"/>
          <w:lang w:eastAsia="en-US"/>
        </w:rPr>
        <w:t xml:space="preserve">], ha implementado el Plan Nacional de Artes en la Educación, el que se ejecuta entre los años 2015-2018 (CNCA y MINEDUC, 2014). Dentro de sus líneas de acción, se considera la entrega de equipamiento para proyectos de educación artística en las escuelas públicas, comenzando con mil centros escolares durante el 2015, hasta completar el universo en el 2018. Así, el CNCA busca apoyar al MINEDUC para transformar el modelo de la educación de las artes hacia el </w:t>
      </w:r>
      <w:r w:rsidRPr="00282FAF">
        <w:rPr>
          <w:rFonts w:eastAsia="Calibri"/>
          <w:i/>
          <w:color w:val="auto"/>
          <w:sz w:val="24"/>
          <w:szCs w:val="24"/>
          <w:lang w:eastAsia="en-US"/>
        </w:rPr>
        <w:t>bienestar subjetivo</w:t>
      </w:r>
      <w:r w:rsidRPr="00282FAF">
        <w:rPr>
          <w:rFonts w:eastAsia="Calibri"/>
          <w:color w:val="auto"/>
          <w:sz w:val="24"/>
          <w:szCs w:val="24"/>
          <w:lang w:eastAsia="en-US"/>
        </w:rPr>
        <w:t>, que se comprende como la satisfacción de las personas hacia sus propias vidas y las condiciones ambientales que permiten superar los desafíos personales (Rojas, 2017). Es necesaria la irrupción del CNCA en materias de educación artística porque el modelo educativo restringe las posibilidades de potenciación de la formación integral de los estudiantes (Castillo y Contreras, 2014) por motivos ligados al enfoque eficientista (Belletich, Wilhelmi y Angel-Alvarado, 2016), de modo que las asignaturas de orden artístico asumen un rol superfluo dentro del currículo escolar.</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De acuerdo a estos antecedentes y su cruce con los resultados cuantitativos obtenidos en la presente investigación, no es posible señalar que las escuelas públicas pertenecientes a la </w:t>
      </w:r>
      <w:r w:rsidRPr="00282FAF">
        <w:rPr>
          <w:rFonts w:eastAsia="Calibri"/>
          <w:color w:val="auto"/>
          <w:sz w:val="24"/>
          <w:szCs w:val="24"/>
          <w:lang w:eastAsia="en-US"/>
        </w:rPr>
        <w:lastRenderedPageBreak/>
        <w:t>Corporación de Educación del Ayuntamiento de San Fernando fomentan el bienestar subjetivo, porque existen diferencias significativas tanto por ubicación demográfica como por nivel educativo, sin observarse una clara tendencia hacia la satisfacción personal. De hecho, la mitad de la población estudiantil que asiste a escuelas urbanas informa una representación negativa sobre la implementación escolar para la educación musical, mientras que un quinto de la población tiene una representación positiva. Asimismo, se observa que la representación de los estudiantes de educación secundaria alta es preocupante, porque sólo uno de cada cinco estudiantes reporta una representación positiva sobre la implementación escolar, mientras que el sesenta y cinco por ciento de los sujetos informa una representación negativa.</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Los resultados que se reportan en este estudio coinciden, en cierta medida, con los hallazgos publicados </w:t>
      </w:r>
      <w:r w:rsidRPr="00282FAF">
        <w:rPr>
          <w:rFonts w:eastAsia="Calibri"/>
          <w:noProof/>
          <w:color w:val="auto"/>
          <w:sz w:val="24"/>
          <w:szCs w:val="24"/>
          <w:lang w:eastAsia="en-US"/>
        </w:rPr>
        <w:t>por el Instituto para el Desarrollo y la</w:t>
      </w:r>
      <w:r w:rsidRPr="00282FAF">
        <w:rPr>
          <w:rFonts w:eastAsia="Calibri"/>
          <w:color w:val="auto"/>
          <w:sz w:val="24"/>
          <w:szCs w:val="24"/>
          <w:lang w:eastAsia="en-US"/>
        </w:rPr>
        <w:t xml:space="preserve"> Innovación Educativa [IDIE] de fomento y fortalecimiento de la Educación Artística (2011), porque en la Región Metropolitana de Chile (dónde se sitúa Santiago) se registra un panorama poco alentador para el sistema escolar y especialmente para el sector público. En concreto, existe un bajo uso de los recursos didáctico-musicales existentes y un desinterés por la incorporación de las nuevas tecnologías, principalmente porque los proyectos educativos escolares están enfocados hacia las habilidades técnicas y no hacia la formación integral del estudiante, por lo tanto, las asignaturas artísticas tienen poca importancia en el currículo escolar. </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Este desinterés que muestra la Región Metropolitana hacia el enfoque humanístico de la educación (UNESCO, 2015) reduce las posibilidades para la innovación infraestructural de la educación musical. Por consiguiente, es fundamental proyectar este estudio hacia el análisis cualitativo de las decisiones directivas de las escuelas y de las situaciones didácticas en clases, para observar si los centros educativos de San Fernando están replicando o no, los hallazgos difundidos por IDIE.</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En definitiva, la carencia de un equipamiento adecuado para la educación musical atenta contra los principios fundamentales de equidad y calidad en la educación, siendo este dramático panorama un producto de la crisis de la institucionalidad educativa, porque los principios fundamentales se vulneran desde el diseño curricular, en otras palabras, las desigualdades surgen antes de que la didáctica interactúe con el estudiante. De acuerdo con los hallazgos expuestos, la representación negativa que reportan los estudiantes da cuenta de una mala calidad de la educación musical en San Fernando, porque el escolar siente vulnerado su derecho a formarse musicalmente por razones propias del sistema educativo. Actualmente, con el Plan Nacional de Artes en la Educación (2015-2018) se avanza hacia la calidad porque representa un importante apoyo para las escuelas, no obstante, con el tiempo se podrá evaluar la efectividad de tal plan.</w:t>
      </w:r>
    </w:p>
    <w:p w:rsidR="00282FAF" w:rsidRPr="00282FAF" w:rsidRDefault="00282FAF" w:rsidP="00A81908">
      <w:pPr>
        <w:numPr>
          <w:ilvl w:val="0"/>
          <w:numId w:val="2"/>
        </w:numPr>
        <w:spacing w:after="160" w:line="259" w:lineRule="auto"/>
        <w:ind w:left="357" w:hanging="357"/>
        <w:jc w:val="left"/>
        <w:rPr>
          <w:rFonts w:eastAsia="Calibri"/>
          <w:color w:val="auto"/>
          <w:sz w:val="24"/>
          <w:szCs w:val="24"/>
          <w:lang w:eastAsia="en-US"/>
        </w:rPr>
      </w:pPr>
      <w:r w:rsidRPr="00282FAF">
        <w:rPr>
          <w:rFonts w:eastAsia="Calibri"/>
          <w:color w:val="auto"/>
          <w:sz w:val="24"/>
          <w:szCs w:val="24"/>
          <w:lang w:eastAsia="en-US"/>
        </w:rPr>
        <w:t>Conclusiones</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Este estudio demuestra que existen diferencias en la representación social que los estudiantes de San Fernando han construido sobre la implementación escolar para la educación musical, ya que se reportan diferencias significativas al comparar los conglomerados tanto por nivel </w:t>
      </w:r>
      <w:r w:rsidRPr="00282FAF">
        <w:rPr>
          <w:rFonts w:eastAsia="Calibri"/>
          <w:color w:val="auto"/>
          <w:sz w:val="24"/>
          <w:szCs w:val="24"/>
          <w:lang w:eastAsia="en-US"/>
        </w:rPr>
        <w:lastRenderedPageBreak/>
        <w:t xml:space="preserve">educativo como por ubicación demográfica de la escuela. Estas diferencias están cargadas hacia la representación negativa en las escuelas urbanas y particularmente en los estudiantes de educación secundaria alta, por lo tanto, los resultados cuantitativos dan cuenta de la necesidad por mejorar la implementación escolar para la educación musical en las escuelas públicas de San Fernando. </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 xml:space="preserve">Si bien los estudiantes de escuelas rurales reportan conformidad con la implementación escolar, el hallazgo abre un abanico de posibilidades situacionales que deberán resolverse en futuros estudios, ya que es imperioso evaluar como la contingencia social hacia la incorporación tecnológica en la educación está irrumpiendo en las escuelas rurales. </w:t>
      </w:r>
      <w:r w:rsidRPr="00282FAF">
        <w:rPr>
          <w:rFonts w:eastAsia="Calibri"/>
          <w:noProof/>
          <w:color w:val="auto"/>
          <w:sz w:val="24"/>
          <w:szCs w:val="24"/>
          <w:lang w:eastAsia="en-US"/>
        </w:rPr>
        <w:t>Por lo tanto, es necesario establecer si las</w:t>
      </w:r>
      <w:r w:rsidRPr="00282FAF">
        <w:rPr>
          <w:rFonts w:eastAsia="Calibri"/>
          <w:color w:val="auto"/>
          <w:sz w:val="24"/>
          <w:szCs w:val="24"/>
          <w:lang w:eastAsia="en-US"/>
        </w:rPr>
        <w:t xml:space="preserve"> escuelas rurales de San Fernando han sido afectadas por tal contingencia social y en qué grado, indagando además en las innovaciones educativas que la Dirección de la escuela y el profesorado han determinado.</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En conclusión, el desinterés hacia las tecnologías para la educación musical reportados a través de nuestros resultados y los publicados por IDIE, demuestran que el sistema público educacional chileno ha postergado la formación integral de la persona a tal punto, que la educación musical se ha transformado en una actividad fútil en el currículo escolar porque no cuenta con el equipamiento necesario para promover una educación musical de calidad. La ejecución del Plan Nacional de Artes en la Educación (2015-2018) es una esperanza para establecer acciones remediales al sistema educativo, pero su ejecución sólo tiene impacto en cuestiones de equipamiento, por lo tanto, es imperioso establecer innovaciones educativas para provocar transformaciones culturales en el sistema educacional.</w:t>
      </w:r>
    </w:p>
    <w:p w:rsidR="00282FAF" w:rsidRPr="00282FAF" w:rsidRDefault="00282FAF" w:rsidP="00282FAF">
      <w:pPr>
        <w:spacing w:after="160" w:line="259" w:lineRule="auto"/>
        <w:ind w:left="0" w:firstLine="0"/>
        <w:rPr>
          <w:rFonts w:eastAsia="Calibri"/>
          <w:color w:val="auto"/>
          <w:sz w:val="24"/>
          <w:szCs w:val="24"/>
          <w:lang w:eastAsia="en-US"/>
        </w:rPr>
      </w:pPr>
      <w:r w:rsidRPr="00282FAF">
        <w:rPr>
          <w:rFonts w:eastAsia="Calibri"/>
          <w:color w:val="auto"/>
          <w:sz w:val="24"/>
          <w:szCs w:val="24"/>
          <w:lang w:eastAsia="en-US"/>
        </w:rPr>
        <w:t>Más allá que este estudio se contextualice en la realidad chilena, tiene utilidad técnica y teórica para la comunidad internacional y, particularmente, para el espacio europeo porque los compromisos que han asumido los países conforme al programa Europa 2020, determinan al sistema educativo desde un enfoque eficientista que reduce a la educación musical a una asignatura de carácter electivo. Por consiguiente, la asignatura dispondrá cada vez de menos recursos, existiendo el riesgo de amenazar los principios fundamentales de equidad y calidad.</w:t>
      </w:r>
    </w:p>
    <w:p w:rsidR="00282FAF" w:rsidRPr="00282FAF" w:rsidRDefault="00282FAF" w:rsidP="00282FAF">
      <w:pPr>
        <w:spacing w:after="160" w:line="259" w:lineRule="auto"/>
        <w:ind w:left="0" w:firstLine="0"/>
        <w:jc w:val="left"/>
        <w:rPr>
          <w:rFonts w:eastAsia="Calibri"/>
          <w:b/>
          <w:color w:val="auto"/>
          <w:sz w:val="24"/>
          <w:szCs w:val="24"/>
          <w:lang w:eastAsia="en-US"/>
        </w:rPr>
      </w:pPr>
    </w:p>
    <w:p w:rsidR="00282FAF" w:rsidRPr="00282FAF" w:rsidRDefault="00282FAF" w:rsidP="00282FAF">
      <w:pPr>
        <w:spacing w:after="160" w:line="259" w:lineRule="auto"/>
        <w:ind w:left="0" w:firstLine="0"/>
        <w:jc w:val="left"/>
        <w:rPr>
          <w:rFonts w:eastAsia="Calibri"/>
          <w:b/>
          <w:color w:val="auto"/>
          <w:sz w:val="24"/>
          <w:szCs w:val="24"/>
          <w:lang w:eastAsia="en-US"/>
        </w:rPr>
      </w:pPr>
    </w:p>
    <w:p w:rsidR="00282FAF" w:rsidRPr="00282FAF" w:rsidRDefault="00282FAF" w:rsidP="00282FAF">
      <w:pPr>
        <w:spacing w:after="160" w:line="259" w:lineRule="auto"/>
        <w:ind w:left="0" w:firstLine="0"/>
        <w:jc w:val="left"/>
        <w:rPr>
          <w:rFonts w:eastAsia="Calibri"/>
          <w:b/>
          <w:color w:val="auto"/>
          <w:sz w:val="24"/>
          <w:szCs w:val="24"/>
          <w:lang w:eastAsia="en-US"/>
        </w:rPr>
      </w:pPr>
    </w:p>
    <w:p w:rsidR="00282FAF" w:rsidRPr="00282FAF" w:rsidRDefault="00282FAF" w:rsidP="00282FAF">
      <w:pPr>
        <w:spacing w:after="160" w:line="259" w:lineRule="auto"/>
        <w:ind w:left="0" w:firstLine="0"/>
        <w:jc w:val="left"/>
        <w:rPr>
          <w:rFonts w:eastAsia="Calibri"/>
          <w:b/>
          <w:color w:val="auto"/>
          <w:sz w:val="24"/>
          <w:szCs w:val="24"/>
          <w:lang w:eastAsia="en-US"/>
        </w:rPr>
      </w:pPr>
    </w:p>
    <w:p w:rsidR="00282FAF" w:rsidRDefault="00282FAF" w:rsidP="00282FAF">
      <w:pPr>
        <w:spacing w:after="160" w:line="259" w:lineRule="auto"/>
        <w:ind w:left="0" w:firstLine="0"/>
        <w:jc w:val="left"/>
        <w:rPr>
          <w:rFonts w:eastAsia="Calibri"/>
          <w:b/>
          <w:color w:val="auto"/>
          <w:sz w:val="24"/>
          <w:szCs w:val="24"/>
          <w:lang w:eastAsia="en-US"/>
        </w:rPr>
      </w:pPr>
    </w:p>
    <w:p w:rsidR="00A81908" w:rsidRDefault="00A81908" w:rsidP="00282FAF">
      <w:pPr>
        <w:spacing w:after="160" w:line="259" w:lineRule="auto"/>
        <w:ind w:left="0" w:firstLine="0"/>
        <w:jc w:val="left"/>
        <w:rPr>
          <w:rFonts w:eastAsia="Calibri"/>
          <w:b/>
          <w:color w:val="auto"/>
          <w:sz w:val="24"/>
          <w:szCs w:val="24"/>
          <w:lang w:eastAsia="en-US"/>
        </w:rPr>
      </w:pPr>
    </w:p>
    <w:p w:rsidR="00A81908" w:rsidRDefault="00A81908" w:rsidP="00282FAF">
      <w:pPr>
        <w:spacing w:after="160" w:line="259" w:lineRule="auto"/>
        <w:ind w:left="0" w:firstLine="0"/>
        <w:jc w:val="left"/>
        <w:rPr>
          <w:rFonts w:eastAsia="Calibri"/>
          <w:b/>
          <w:color w:val="auto"/>
          <w:sz w:val="24"/>
          <w:szCs w:val="24"/>
          <w:lang w:eastAsia="en-US"/>
        </w:rPr>
      </w:pPr>
    </w:p>
    <w:p w:rsidR="00A81908" w:rsidRPr="00282FAF" w:rsidRDefault="00A81908" w:rsidP="00282FAF">
      <w:pPr>
        <w:spacing w:after="160" w:line="259" w:lineRule="auto"/>
        <w:ind w:left="0" w:firstLine="0"/>
        <w:jc w:val="left"/>
        <w:rPr>
          <w:rFonts w:eastAsia="Calibri"/>
          <w:b/>
          <w:color w:val="auto"/>
          <w:sz w:val="24"/>
          <w:szCs w:val="24"/>
          <w:lang w:eastAsia="en-US"/>
        </w:rPr>
      </w:pPr>
    </w:p>
    <w:p w:rsidR="00282FAF" w:rsidRPr="00282FAF" w:rsidRDefault="00282FAF" w:rsidP="00282FAF">
      <w:pPr>
        <w:spacing w:after="160" w:line="259" w:lineRule="auto"/>
        <w:ind w:left="0" w:firstLine="0"/>
        <w:jc w:val="left"/>
        <w:rPr>
          <w:rFonts w:eastAsia="Calibri"/>
          <w:b/>
          <w:color w:val="auto"/>
          <w:sz w:val="24"/>
          <w:szCs w:val="24"/>
          <w:lang w:eastAsia="en-US"/>
        </w:rPr>
      </w:pPr>
    </w:p>
    <w:p w:rsidR="00282FAF" w:rsidRPr="00282FAF" w:rsidRDefault="00282FAF" w:rsidP="00A81908">
      <w:pPr>
        <w:numPr>
          <w:ilvl w:val="0"/>
          <w:numId w:val="2"/>
        </w:numPr>
        <w:spacing w:after="160" w:line="259" w:lineRule="auto"/>
        <w:ind w:left="357" w:hanging="357"/>
        <w:jc w:val="left"/>
        <w:rPr>
          <w:rFonts w:eastAsia="Calibri"/>
          <w:color w:val="auto"/>
          <w:sz w:val="24"/>
          <w:szCs w:val="24"/>
          <w:lang w:eastAsia="en-US"/>
        </w:rPr>
      </w:pPr>
      <w:r w:rsidRPr="00282FAF">
        <w:rPr>
          <w:rFonts w:eastAsia="Calibri"/>
          <w:color w:val="auto"/>
          <w:sz w:val="24"/>
          <w:szCs w:val="24"/>
          <w:lang w:eastAsia="en-US"/>
        </w:rPr>
        <w:lastRenderedPageBreak/>
        <w:t>Referencias</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Bardone, Andrea y Gargiulo, Carlos. (</w:t>
      </w:r>
      <w:r w:rsidRPr="00282FAF">
        <w:rPr>
          <w:rFonts w:eastAsia="Calibri"/>
          <w:noProof/>
          <w:color w:val="auto"/>
          <w:sz w:val="24"/>
          <w:szCs w:val="24"/>
          <w:lang w:eastAsia="en-US"/>
        </w:rPr>
        <w:t xml:space="preserve">2014). </w:t>
      </w:r>
      <w:r w:rsidRPr="00282FAF">
        <w:rPr>
          <w:rFonts w:eastAsia="Calibri"/>
          <w:i/>
          <w:noProof/>
          <w:color w:val="auto"/>
          <w:sz w:val="24"/>
          <w:szCs w:val="24"/>
          <w:lang w:eastAsia="en-US"/>
        </w:rPr>
        <w:t>Aprendizaje en las escuelas del siglo XXI: Nota</w:t>
      </w:r>
      <w:r w:rsidRPr="00282FAF">
        <w:rPr>
          <w:rFonts w:eastAsia="Calibri"/>
          <w:i/>
          <w:color w:val="auto"/>
          <w:sz w:val="24"/>
          <w:szCs w:val="24"/>
          <w:lang w:eastAsia="en-US"/>
        </w:rPr>
        <w:t xml:space="preserve"> 6, normas y costos de la infraestructura escolar</w:t>
      </w:r>
      <w:r w:rsidRPr="00282FAF">
        <w:rPr>
          <w:rFonts w:eastAsia="Calibri"/>
          <w:color w:val="auto"/>
          <w:sz w:val="24"/>
          <w:szCs w:val="24"/>
          <w:lang w:eastAsia="en-US"/>
        </w:rPr>
        <w:t>. Santiago: Banco Interamericano de Desarrollo.</w:t>
      </w:r>
    </w:p>
    <w:p w:rsidR="00282FAF" w:rsidRPr="00282FAF" w:rsidRDefault="00282FAF" w:rsidP="00282FAF">
      <w:pPr>
        <w:spacing w:after="160" w:line="259" w:lineRule="auto"/>
        <w:ind w:left="709" w:hanging="709"/>
        <w:rPr>
          <w:rFonts w:eastAsia="Calibri"/>
          <w:b/>
          <w:color w:val="auto"/>
          <w:sz w:val="24"/>
          <w:szCs w:val="24"/>
          <w:lang w:eastAsia="en-US"/>
        </w:rPr>
      </w:pPr>
      <w:r w:rsidRPr="00282FAF">
        <w:rPr>
          <w:rFonts w:eastAsia="Calibri"/>
          <w:color w:val="auto"/>
          <w:sz w:val="24"/>
          <w:szCs w:val="24"/>
          <w:lang w:eastAsia="en-US"/>
        </w:rPr>
        <w:t xml:space="preserve">Bellei, C. (2013). El estudio de la segregación socioeconómica y académica de la educación chilena. </w:t>
      </w:r>
      <w:r w:rsidRPr="00282FAF">
        <w:rPr>
          <w:rFonts w:eastAsia="Calibri"/>
          <w:i/>
          <w:color w:val="auto"/>
          <w:sz w:val="24"/>
          <w:szCs w:val="24"/>
          <w:lang w:eastAsia="en-US"/>
        </w:rPr>
        <w:t>Estudios pedagógicos, 39</w:t>
      </w:r>
      <w:r w:rsidRPr="00282FAF">
        <w:rPr>
          <w:rFonts w:eastAsia="Calibri"/>
          <w:color w:val="auto"/>
          <w:sz w:val="24"/>
          <w:szCs w:val="24"/>
          <w:lang w:eastAsia="en-US"/>
        </w:rPr>
        <w:t>(1), 325-345.</w:t>
      </w:r>
    </w:p>
    <w:p w:rsidR="00282FAF" w:rsidRPr="00282FAF" w:rsidRDefault="00282FAF" w:rsidP="00282FAF">
      <w:pPr>
        <w:spacing w:after="160" w:line="259" w:lineRule="auto"/>
        <w:ind w:left="709" w:hanging="709"/>
        <w:rPr>
          <w:rFonts w:eastAsia="Calibri"/>
          <w:b/>
          <w:color w:val="auto"/>
          <w:sz w:val="24"/>
          <w:szCs w:val="24"/>
          <w:lang w:eastAsia="en-US"/>
        </w:rPr>
      </w:pPr>
      <w:r w:rsidRPr="00282FAF">
        <w:rPr>
          <w:rFonts w:eastAsia="Calibri"/>
          <w:color w:val="auto"/>
          <w:sz w:val="24"/>
          <w:szCs w:val="24"/>
          <w:lang w:eastAsia="en-US"/>
        </w:rPr>
        <w:t xml:space="preserve">Belletich, O., Wilhelmi, M. R. y Angel-Alvarado, R. (2016). La educación musical en la formación básica en España: El problema de la dispersión curricular. </w:t>
      </w:r>
      <w:r w:rsidRPr="00282FAF">
        <w:rPr>
          <w:rFonts w:eastAsia="Calibri"/>
          <w:i/>
          <w:color w:val="auto"/>
          <w:sz w:val="24"/>
          <w:szCs w:val="24"/>
          <w:lang w:eastAsia="en-US"/>
        </w:rPr>
        <w:t>Perspectiva educacional, 55</w:t>
      </w:r>
      <w:r w:rsidRPr="00282FAF">
        <w:rPr>
          <w:rFonts w:eastAsia="Calibri"/>
          <w:color w:val="auto"/>
          <w:sz w:val="24"/>
          <w:szCs w:val="24"/>
          <w:lang w:eastAsia="en-US"/>
        </w:rPr>
        <w:t>(2), 158-170. doi:10.4151/07189729-Vol.55-Iss.2-Art.454</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 xml:space="preserve">Castillo, Jorge y Contreras, Daniel. (2014). </w:t>
      </w:r>
      <w:r w:rsidRPr="00282FAF">
        <w:rPr>
          <w:rFonts w:eastAsia="Calibri"/>
          <w:i/>
          <w:color w:val="auto"/>
          <w:sz w:val="24"/>
          <w:szCs w:val="24"/>
          <w:lang w:eastAsia="en-US"/>
        </w:rPr>
        <w:t>El papel de la educación en la formación del bienestar subjetivo para el desarrollo humano: Una revisión al caso chileno</w:t>
      </w:r>
      <w:r w:rsidRPr="00282FAF">
        <w:rPr>
          <w:rFonts w:eastAsia="Calibri"/>
          <w:color w:val="auto"/>
          <w:sz w:val="24"/>
          <w:szCs w:val="24"/>
          <w:lang w:eastAsia="en-US"/>
        </w:rPr>
        <w:t>. Santiago: LOM.</w:t>
      </w:r>
    </w:p>
    <w:p w:rsidR="00282FAF" w:rsidRPr="00282FAF" w:rsidRDefault="00282FAF" w:rsidP="00282FAF">
      <w:pPr>
        <w:spacing w:after="160" w:line="259" w:lineRule="auto"/>
        <w:ind w:left="709" w:hanging="709"/>
        <w:rPr>
          <w:rFonts w:eastAsia="Calibri"/>
          <w:color w:val="auto"/>
          <w:sz w:val="24"/>
          <w:szCs w:val="24"/>
          <w:lang w:val="en-GB" w:eastAsia="en-US"/>
        </w:rPr>
      </w:pPr>
      <w:r w:rsidRPr="00282FAF">
        <w:rPr>
          <w:rFonts w:eastAsia="Calibri"/>
          <w:color w:val="auto"/>
          <w:sz w:val="24"/>
          <w:szCs w:val="24"/>
          <w:lang w:val="es-ES" w:eastAsia="en-US"/>
        </w:rPr>
        <w:t xml:space="preserve">CNCA y MINEDUC. (2014). </w:t>
      </w:r>
      <w:r w:rsidRPr="00282FAF">
        <w:rPr>
          <w:rFonts w:eastAsia="Calibri"/>
          <w:i/>
          <w:iCs/>
          <w:noProof/>
          <w:color w:val="auto"/>
          <w:sz w:val="24"/>
          <w:szCs w:val="24"/>
          <w:lang w:val="es-ES" w:eastAsia="en-US"/>
        </w:rPr>
        <w:t>Plan Nacional de Artes en la Educación</w:t>
      </w:r>
      <w:r w:rsidRPr="00282FAF">
        <w:rPr>
          <w:rFonts w:eastAsia="Calibri"/>
          <w:i/>
          <w:iCs/>
          <w:color w:val="auto"/>
          <w:sz w:val="24"/>
          <w:szCs w:val="24"/>
          <w:lang w:val="es-ES" w:eastAsia="en-US"/>
        </w:rPr>
        <w:t xml:space="preserve"> 2015-2018.</w:t>
      </w:r>
      <w:r w:rsidRPr="00282FAF">
        <w:rPr>
          <w:rFonts w:eastAsia="Calibri"/>
          <w:color w:val="auto"/>
          <w:sz w:val="24"/>
          <w:szCs w:val="24"/>
          <w:lang w:val="es-ES" w:eastAsia="en-US"/>
        </w:rPr>
        <w:t xml:space="preserve"> </w:t>
      </w:r>
      <w:r w:rsidRPr="00282FAF">
        <w:rPr>
          <w:rFonts w:eastAsia="Calibri"/>
          <w:color w:val="auto"/>
          <w:sz w:val="24"/>
          <w:szCs w:val="24"/>
          <w:lang w:val="en-GB" w:eastAsia="en-US"/>
        </w:rPr>
        <w:t>Santiago: Gobierno de Chile.</w:t>
      </w:r>
    </w:p>
    <w:p w:rsidR="00282FAF" w:rsidRPr="00282FAF" w:rsidRDefault="00282FAF" w:rsidP="00282FAF">
      <w:pPr>
        <w:spacing w:after="160" w:line="259" w:lineRule="auto"/>
        <w:ind w:left="709" w:hanging="709"/>
        <w:rPr>
          <w:rFonts w:eastAsia="Calibri"/>
          <w:color w:val="auto"/>
          <w:sz w:val="24"/>
          <w:szCs w:val="24"/>
          <w:lang w:val="en-GB" w:eastAsia="en-US"/>
        </w:rPr>
      </w:pPr>
      <w:r w:rsidRPr="00282FAF">
        <w:rPr>
          <w:rFonts w:eastAsia="Calibri"/>
          <w:color w:val="auto"/>
          <w:sz w:val="24"/>
          <w:szCs w:val="24"/>
          <w:lang w:val="en-GB" w:eastAsia="en-US"/>
        </w:rPr>
        <w:t xml:space="preserve">Cohen, J., Cohen, P., West, S. G. y Aiken, L. (2003). </w:t>
      </w:r>
      <w:r w:rsidRPr="00282FAF">
        <w:rPr>
          <w:rFonts w:eastAsia="Calibri"/>
          <w:i/>
          <w:color w:val="auto"/>
          <w:sz w:val="24"/>
          <w:szCs w:val="24"/>
          <w:lang w:val="en-GB" w:eastAsia="en-US"/>
        </w:rPr>
        <w:t>Applied multiple regression/correlation analysis for the behavioral sciences.</w:t>
      </w:r>
      <w:r w:rsidRPr="00282FAF">
        <w:rPr>
          <w:rFonts w:eastAsia="Calibri"/>
          <w:color w:val="auto"/>
          <w:sz w:val="24"/>
          <w:szCs w:val="24"/>
          <w:lang w:val="en-GB" w:eastAsia="en-US"/>
        </w:rPr>
        <w:t xml:space="preserve"> Mahwah, NJ: Lawrence Erlbaum.</w:t>
      </w:r>
    </w:p>
    <w:p w:rsidR="00282FAF" w:rsidRPr="00282FAF" w:rsidRDefault="00282FAF" w:rsidP="00282FAF">
      <w:pPr>
        <w:spacing w:after="160" w:line="259" w:lineRule="auto"/>
        <w:ind w:left="709" w:hanging="709"/>
        <w:rPr>
          <w:rFonts w:eastAsia="Calibri"/>
          <w:color w:val="auto"/>
          <w:sz w:val="24"/>
          <w:szCs w:val="24"/>
          <w:lang w:val="en-GB" w:eastAsia="en-US"/>
        </w:rPr>
      </w:pPr>
      <w:r w:rsidRPr="00282FAF">
        <w:rPr>
          <w:rFonts w:eastAsia="Calibri"/>
          <w:color w:val="auto"/>
          <w:sz w:val="24"/>
          <w:szCs w:val="24"/>
          <w:lang w:val="en-GB" w:eastAsia="en-US"/>
        </w:rPr>
        <w:t xml:space="preserve">Davenport, E. C., Davison, M., Liou, P. y Love, Q. (2015). </w:t>
      </w:r>
      <w:r w:rsidRPr="00282FAF">
        <w:rPr>
          <w:rFonts w:eastAsia="Calibri"/>
          <w:noProof/>
          <w:color w:val="auto"/>
          <w:sz w:val="24"/>
          <w:szCs w:val="24"/>
          <w:lang w:val="en-GB" w:eastAsia="en-US"/>
        </w:rPr>
        <w:t>Reliability, dimensionality, and internal consistency as defined by Cronbach: Distinct albeit related concepts.</w:t>
      </w:r>
      <w:r w:rsidRPr="00282FAF">
        <w:rPr>
          <w:rFonts w:eastAsia="Calibri"/>
          <w:color w:val="auto"/>
          <w:sz w:val="24"/>
          <w:szCs w:val="24"/>
          <w:lang w:val="en-GB" w:eastAsia="en-US"/>
        </w:rPr>
        <w:t xml:space="preserve"> </w:t>
      </w:r>
      <w:r w:rsidRPr="00282FAF">
        <w:rPr>
          <w:rFonts w:eastAsia="Calibri"/>
          <w:i/>
          <w:iCs/>
          <w:color w:val="auto"/>
          <w:sz w:val="24"/>
          <w:szCs w:val="24"/>
          <w:lang w:val="en-GB" w:eastAsia="en-US"/>
        </w:rPr>
        <w:t>Educational Measurement: Issues and practice, 34</w:t>
      </w:r>
      <w:r w:rsidRPr="00282FAF">
        <w:rPr>
          <w:rFonts w:eastAsia="Calibri"/>
          <w:iCs/>
          <w:color w:val="auto"/>
          <w:sz w:val="24"/>
          <w:szCs w:val="24"/>
          <w:lang w:val="en-GB" w:eastAsia="en-US"/>
        </w:rPr>
        <w:t>(4)</w:t>
      </w:r>
      <w:r w:rsidRPr="00282FAF">
        <w:rPr>
          <w:rFonts w:eastAsia="Calibri"/>
          <w:color w:val="auto"/>
          <w:sz w:val="24"/>
          <w:szCs w:val="24"/>
          <w:lang w:val="en-GB" w:eastAsia="en-US"/>
        </w:rPr>
        <w:t>: 4-9. doi:10.1111/emip.12095</w:t>
      </w:r>
    </w:p>
    <w:p w:rsidR="00282FAF" w:rsidRPr="00282FAF" w:rsidRDefault="00282FAF" w:rsidP="00282FAF">
      <w:pPr>
        <w:spacing w:after="160" w:line="259" w:lineRule="auto"/>
        <w:ind w:left="709" w:hanging="709"/>
        <w:rPr>
          <w:rFonts w:eastAsia="Calibri"/>
          <w:color w:val="auto"/>
          <w:sz w:val="24"/>
          <w:szCs w:val="24"/>
          <w:lang w:val="es-ES" w:eastAsia="en-US"/>
        </w:rPr>
      </w:pPr>
      <w:r w:rsidRPr="00282FAF">
        <w:rPr>
          <w:rFonts w:eastAsia="Calibri"/>
          <w:noProof/>
          <w:color w:val="auto"/>
          <w:sz w:val="24"/>
          <w:szCs w:val="24"/>
          <w:lang w:val="en-GB" w:eastAsia="en-US"/>
        </w:rPr>
        <w:t xml:space="preserve">Duarte, J., Gargiulo, C. y Moreno, M. (2011). </w:t>
      </w:r>
      <w:r w:rsidRPr="00282FAF">
        <w:rPr>
          <w:rFonts w:eastAsia="Calibri"/>
          <w:i/>
          <w:iCs/>
          <w:noProof/>
          <w:color w:val="auto"/>
          <w:sz w:val="24"/>
          <w:szCs w:val="24"/>
          <w:lang w:val="es-ES" w:eastAsia="en-US"/>
        </w:rPr>
        <w:t>Infraestructura escolar y</w:t>
      </w:r>
      <w:r w:rsidRPr="00282FAF">
        <w:rPr>
          <w:rFonts w:eastAsia="Calibri"/>
          <w:i/>
          <w:iCs/>
          <w:color w:val="auto"/>
          <w:sz w:val="24"/>
          <w:szCs w:val="24"/>
          <w:lang w:val="es-ES" w:eastAsia="en-US"/>
        </w:rPr>
        <w:t xml:space="preserve"> aprendizajes en la educación básica latinoamericana: Un análisis a partir del SERCE.</w:t>
      </w:r>
      <w:r w:rsidRPr="00282FAF">
        <w:rPr>
          <w:rFonts w:eastAsia="Calibri"/>
          <w:color w:val="auto"/>
          <w:sz w:val="24"/>
          <w:szCs w:val="24"/>
          <w:lang w:val="es-ES" w:eastAsia="en-US"/>
        </w:rPr>
        <w:t xml:space="preserve"> Washington D.C.: Banco Interamericano de Desarrollo, División de Educación.</w:t>
      </w:r>
    </w:p>
    <w:p w:rsidR="00282FAF" w:rsidRPr="00282FAF" w:rsidRDefault="00282FAF" w:rsidP="00282FAF">
      <w:pPr>
        <w:spacing w:after="160" w:line="259" w:lineRule="auto"/>
        <w:ind w:left="709" w:hanging="709"/>
        <w:rPr>
          <w:rFonts w:eastAsia="Calibri"/>
          <w:color w:val="auto"/>
          <w:sz w:val="24"/>
          <w:szCs w:val="24"/>
          <w:lang w:val="es-ES" w:eastAsia="en-US"/>
        </w:rPr>
      </w:pPr>
      <w:r w:rsidRPr="00282FAF">
        <w:rPr>
          <w:rFonts w:eastAsia="Calibri"/>
          <w:color w:val="auto"/>
          <w:sz w:val="24"/>
          <w:szCs w:val="24"/>
          <w:lang w:val="es-ES" w:eastAsia="en-US"/>
        </w:rPr>
        <w:t xml:space="preserve">Duarte, J., Juareguiberry, F. y Racimo, M. (2017). </w:t>
      </w:r>
      <w:r w:rsidRPr="00282FAF">
        <w:rPr>
          <w:rFonts w:eastAsia="Calibri"/>
          <w:i/>
          <w:iCs/>
          <w:noProof/>
          <w:color w:val="auto"/>
          <w:sz w:val="24"/>
          <w:szCs w:val="24"/>
          <w:lang w:val="es-ES" w:eastAsia="en-US"/>
        </w:rPr>
        <w:t>Suficiencia, equidad y efectividad de la infraestructura escolar en América Latina según el TERCE.</w:t>
      </w:r>
      <w:r w:rsidRPr="00282FAF">
        <w:rPr>
          <w:rFonts w:eastAsia="Calibri"/>
          <w:noProof/>
          <w:color w:val="auto"/>
          <w:sz w:val="24"/>
          <w:szCs w:val="24"/>
          <w:lang w:val="es-ES" w:eastAsia="en-US"/>
        </w:rPr>
        <w:t xml:space="preserve"> Santiago: Oficina Regional de Educación para América Latina y el Caribe</w:t>
      </w:r>
      <w:r w:rsidRPr="00282FAF">
        <w:rPr>
          <w:rFonts w:eastAsia="Calibri"/>
          <w:color w:val="auto"/>
          <w:sz w:val="24"/>
          <w:szCs w:val="24"/>
          <w:lang w:val="es-ES" w:eastAsia="en-US"/>
        </w:rPr>
        <w:t xml:space="preserve"> (OREALC/UNESCO Santiago).</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 xml:space="preserve">Durán Gonzalo y Kremerman, Marco. (2015). </w:t>
      </w:r>
      <w:r w:rsidRPr="00282FAF">
        <w:rPr>
          <w:rFonts w:eastAsia="Calibri"/>
          <w:i/>
          <w:noProof/>
          <w:color w:val="auto"/>
          <w:sz w:val="24"/>
          <w:szCs w:val="24"/>
          <w:lang w:eastAsia="en-US"/>
        </w:rPr>
        <w:t>Los verdaderos sueldos en Chile: Panorama actual del valor del trabajo</w:t>
      </w:r>
      <w:r w:rsidRPr="00282FAF">
        <w:rPr>
          <w:rFonts w:eastAsia="Calibri"/>
          <w:i/>
          <w:color w:val="auto"/>
          <w:sz w:val="24"/>
          <w:szCs w:val="24"/>
          <w:lang w:eastAsia="en-US"/>
        </w:rPr>
        <w:t xml:space="preserve"> usando la encuesta NESI</w:t>
      </w:r>
      <w:r w:rsidRPr="00282FAF">
        <w:rPr>
          <w:rFonts w:eastAsia="Calibri"/>
          <w:color w:val="auto"/>
          <w:sz w:val="24"/>
          <w:szCs w:val="24"/>
          <w:lang w:eastAsia="en-US"/>
        </w:rPr>
        <w:t>. Santiago: Fundación Sol.</w:t>
      </w:r>
    </w:p>
    <w:p w:rsidR="00282FAF" w:rsidRPr="00282FAF" w:rsidRDefault="00282FAF" w:rsidP="00282FAF">
      <w:pPr>
        <w:spacing w:after="160" w:line="259" w:lineRule="auto"/>
        <w:ind w:left="709" w:hanging="709"/>
        <w:rPr>
          <w:rFonts w:eastAsia="Calibri"/>
          <w:bCs/>
          <w:color w:val="auto"/>
          <w:sz w:val="24"/>
          <w:szCs w:val="24"/>
          <w:lang w:val="en-GB" w:eastAsia="en-US"/>
        </w:rPr>
      </w:pPr>
      <w:r w:rsidRPr="00282FAF">
        <w:rPr>
          <w:rFonts w:eastAsia="Calibri"/>
          <w:bCs/>
          <w:color w:val="auto"/>
          <w:sz w:val="24"/>
          <w:szCs w:val="24"/>
          <w:lang w:eastAsia="en-US"/>
        </w:rPr>
        <w:t xml:space="preserve">Gliner, J. A. y Morgan, G. A. (2009). </w:t>
      </w:r>
      <w:r w:rsidRPr="00282FAF">
        <w:rPr>
          <w:rFonts w:eastAsia="Calibri"/>
          <w:bCs/>
          <w:i/>
          <w:color w:val="auto"/>
          <w:sz w:val="24"/>
          <w:szCs w:val="24"/>
          <w:lang w:val="en-GB" w:eastAsia="en-US"/>
        </w:rPr>
        <w:t>Research methods in applied settings: An integrated approach to design and analysis</w:t>
      </w:r>
      <w:r w:rsidRPr="00282FAF">
        <w:rPr>
          <w:rFonts w:eastAsia="Calibri"/>
          <w:bCs/>
          <w:color w:val="auto"/>
          <w:sz w:val="24"/>
          <w:szCs w:val="24"/>
          <w:lang w:val="en-GB" w:eastAsia="en-US"/>
        </w:rPr>
        <w:t>. Mahwah, NJ: Lawrence Erlbaum.</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val="en-GB" w:eastAsia="en-US"/>
        </w:rPr>
        <w:t xml:space="preserve">Hair, J., Wolfinbarger, M., Money, A. H., Samouel, P. y Page, M. J. (2015). </w:t>
      </w:r>
      <w:r w:rsidRPr="00282FAF">
        <w:rPr>
          <w:rFonts w:eastAsia="Calibri"/>
          <w:i/>
          <w:color w:val="auto"/>
          <w:sz w:val="24"/>
          <w:szCs w:val="24"/>
          <w:lang w:eastAsia="en-US"/>
        </w:rPr>
        <w:t>Essentials of bussiness research methods.</w:t>
      </w:r>
      <w:r w:rsidRPr="00282FAF">
        <w:rPr>
          <w:rFonts w:eastAsia="Calibri"/>
          <w:color w:val="auto"/>
          <w:sz w:val="24"/>
          <w:szCs w:val="24"/>
          <w:lang w:eastAsia="en-US"/>
        </w:rPr>
        <w:t xml:space="preserve"> Nueva York, NY: Routledge.</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noProof/>
          <w:color w:val="auto"/>
          <w:sz w:val="24"/>
          <w:szCs w:val="24"/>
          <w:lang w:eastAsia="en-US"/>
        </w:rPr>
        <w:t>Instituto para el Desarrollo y la Innovación Educativa</w:t>
      </w:r>
      <w:r w:rsidRPr="00282FAF">
        <w:rPr>
          <w:rFonts w:eastAsia="Calibri"/>
          <w:color w:val="auto"/>
          <w:sz w:val="24"/>
          <w:szCs w:val="24"/>
          <w:lang w:eastAsia="en-US"/>
        </w:rPr>
        <w:t xml:space="preserve"> para el fomento y el fortalecimiento de la Educación Artística. (2011). </w:t>
      </w:r>
      <w:r w:rsidRPr="00282FAF">
        <w:rPr>
          <w:rFonts w:eastAsia="Calibri"/>
          <w:i/>
          <w:color w:val="auto"/>
          <w:sz w:val="24"/>
          <w:szCs w:val="24"/>
          <w:lang w:eastAsia="en-US"/>
        </w:rPr>
        <w:t>Estudio sobre el estado actual de la educación artística en la región Metropolitana: Octubre 2011</w:t>
      </w:r>
      <w:r w:rsidRPr="00282FAF">
        <w:rPr>
          <w:rFonts w:eastAsia="Calibri"/>
          <w:color w:val="auto"/>
          <w:sz w:val="24"/>
          <w:szCs w:val="24"/>
          <w:lang w:eastAsia="en-US"/>
        </w:rPr>
        <w:t>. Santiago de Chile: OEI-Chile.</w:t>
      </w:r>
    </w:p>
    <w:p w:rsidR="00282FAF" w:rsidRPr="00282FAF" w:rsidRDefault="00282FAF" w:rsidP="00282FAF">
      <w:pPr>
        <w:spacing w:after="160" w:line="259" w:lineRule="auto"/>
        <w:ind w:left="709" w:hanging="709"/>
        <w:rPr>
          <w:rFonts w:eastAsia="Calibri"/>
          <w:color w:val="auto"/>
          <w:sz w:val="24"/>
          <w:szCs w:val="24"/>
          <w:lang w:val="en-GB" w:eastAsia="en-US"/>
        </w:rPr>
      </w:pPr>
      <w:r w:rsidRPr="00282FAF">
        <w:rPr>
          <w:rFonts w:eastAsia="Calibri"/>
          <w:color w:val="auto"/>
          <w:sz w:val="24"/>
          <w:szCs w:val="24"/>
          <w:lang w:val="es-ES" w:eastAsia="en-US"/>
        </w:rPr>
        <w:lastRenderedPageBreak/>
        <w:t xml:space="preserve">Lévy, Jean-Pierre y Varela, Jesús. (2006). </w:t>
      </w:r>
      <w:r w:rsidRPr="00282FAF">
        <w:rPr>
          <w:rFonts w:eastAsia="Calibri"/>
          <w:i/>
          <w:color w:val="auto"/>
          <w:sz w:val="24"/>
          <w:szCs w:val="24"/>
          <w:lang w:val="es-ES" w:eastAsia="en-US"/>
        </w:rPr>
        <w:t xml:space="preserve">Modelización con estructuras de covarianza en Ciencias Sociales: Temas esenciales, avanzados y aportaciones especiales. </w:t>
      </w:r>
      <w:r w:rsidRPr="00282FAF">
        <w:rPr>
          <w:rFonts w:eastAsia="Calibri"/>
          <w:color w:val="auto"/>
          <w:sz w:val="24"/>
          <w:szCs w:val="24"/>
          <w:lang w:val="en-GB" w:eastAsia="en-US"/>
        </w:rPr>
        <w:t>La Coruña: Netbiblo.</w:t>
      </w:r>
    </w:p>
    <w:p w:rsidR="00282FAF" w:rsidRPr="00282FAF" w:rsidRDefault="00282FAF" w:rsidP="00282FAF">
      <w:pPr>
        <w:spacing w:after="160" w:line="259" w:lineRule="auto"/>
        <w:ind w:left="709" w:hanging="709"/>
        <w:rPr>
          <w:rFonts w:eastAsia="Calibri"/>
          <w:color w:val="auto"/>
          <w:sz w:val="24"/>
          <w:szCs w:val="24"/>
          <w:lang w:val="en-GB" w:eastAsia="en-US"/>
        </w:rPr>
      </w:pPr>
      <w:r w:rsidRPr="00282FAF">
        <w:rPr>
          <w:rFonts w:eastAsia="Calibri"/>
          <w:color w:val="auto"/>
          <w:sz w:val="24"/>
          <w:szCs w:val="24"/>
          <w:lang w:val="en-GB" w:eastAsia="en-US"/>
        </w:rPr>
        <w:t xml:space="preserve">OCDE. (2016). </w:t>
      </w:r>
      <w:r w:rsidRPr="00282FAF">
        <w:rPr>
          <w:rFonts w:eastAsia="Calibri"/>
          <w:i/>
          <w:color w:val="auto"/>
          <w:sz w:val="24"/>
          <w:szCs w:val="24"/>
          <w:lang w:val="en-GB" w:eastAsia="en-US"/>
        </w:rPr>
        <w:t>Education at a glance2016: OECD indicators</w:t>
      </w:r>
      <w:r w:rsidRPr="00282FAF">
        <w:rPr>
          <w:rFonts w:eastAsia="Calibri"/>
          <w:color w:val="auto"/>
          <w:sz w:val="24"/>
          <w:szCs w:val="24"/>
          <w:lang w:val="en-GB" w:eastAsia="en-US"/>
        </w:rPr>
        <w:t>. París: OECD Publishing. doi:10.187/eag-2016-en</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 xml:space="preserve">Rojas, Pablo. (2017). Una educación artística para desarrollar el bienestar subjetivo: La experiencia chilena. </w:t>
      </w:r>
      <w:r w:rsidRPr="00282FAF">
        <w:rPr>
          <w:rFonts w:eastAsia="Calibri"/>
          <w:i/>
          <w:color w:val="auto"/>
          <w:sz w:val="24"/>
          <w:szCs w:val="24"/>
          <w:lang w:eastAsia="en-US"/>
        </w:rPr>
        <w:t>Revista internacional de educación para la justicia social, 6</w:t>
      </w:r>
      <w:r w:rsidRPr="00282FAF">
        <w:rPr>
          <w:rFonts w:eastAsia="Calibri"/>
          <w:color w:val="auto"/>
          <w:sz w:val="24"/>
          <w:szCs w:val="24"/>
          <w:lang w:eastAsia="en-US"/>
        </w:rPr>
        <w:t>(1), 199-2016. doi: 10.15366/riejs2017.6.1.011</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 xml:space="preserve">UNESCO. (2013). </w:t>
      </w:r>
      <w:r w:rsidRPr="00282FAF">
        <w:rPr>
          <w:rFonts w:eastAsia="Calibri"/>
          <w:i/>
          <w:noProof/>
          <w:color w:val="auto"/>
          <w:sz w:val="24"/>
          <w:szCs w:val="24"/>
          <w:lang w:eastAsia="en-US"/>
        </w:rPr>
        <w:t>Clasificación Internacional Normalizada de la Educación:</w:t>
      </w:r>
      <w:r w:rsidRPr="00282FAF">
        <w:rPr>
          <w:rFonts w:eastAsia="Calibri"/>
          <w:i/>
          <w:color w:val="auto"/>
          <w:sz w:val="24"/>
          <w:szCs w:val="24"/>
          <w:lang w:eastAsia="en-US"/>
        </w:rPr>
        <w:t xml:space="preserve"> CINE 2011</w:t>
      </w:r>
      <w:r w:rsidRPr="00282FAF">
        <w:rPr>
          <w:rFonts w:eastAsia="Calibri"/>
          <w:color w:val="auto"/>
          <w:sz w:val="24"/>
          <w:szCs w:val="24"/>
          <w:lang w:eastAsia="en-US"/>
        </w:rPr>
        <w:t>. Montreal: Instituto de Estadística de la UNESCO</w:t>
      </w:r>
    </w:p>
    <w:p w:rsidR="00282FAF" w:rsidRPr="00282FAF" w:rsidRDefault="00282FAF" w:rsidP="00282FAF">
      <w:pPr>
        <w:spacing w:after="160" w:line="259" w:lineRule="auto"/>
        <w:ind w:left="709" w:hanging="709"/>
        <w:rPr>
          <w:rFonts w:eastAsia="Calibri"/>
          <w:color w:val="auto"/>
          <w:sz w:val="24"/>
          <w:szCs w:val="24"/>
          <w:lang w:eastAsia="en-US"/>
        </w:rPr>
      </w:pPr>
      <w:r w:rsidRPr="00282FAF">
        <w:rPr>
          <w:rFonts w:eastAsia="Calibri"/>
          <w:color w:val="auto"/>
          <w:sz w:val="24"/>
          <w:szCs w:val="24"/>
          <w:lang w:eastAsia="en-US"/>
        </w:rPr>
        <w:t xml:space="preserve">UNESCO. (2015). </w:t>
      </w:r>
      <w:r w:rsidRPr="00282FAF">
        <w:rPr>
          <w:rFonts w:eastAsia="Calibri"/>
          <w:i/>
          <w:noProof/>
          <w:color w:val="auto"/>
          <w:sz w:val="24"/>
          <w:szCs w:val="24"/>
          <w:lang w:eastAsia="en-US"/>
        </w:rPr>
        <w:t>Replantear la educación: ¿Hacia un bien común mundial</w:t>
      </w:r>
      <w:r w:rsidRPr="00282FAF">
        <w:rPr>
          <w:rFonts w:eastAsia="Calibri"/>
          <w:i/>
          <w:color w:val="auto"/>
          <w:sz w:val="24"/>
          <w:szCs w:val="24"/>
          <w:lang w:eastAsia="en-US"/>
        </w:rPr>
        <w:t>?</w:t>
      </w:r>
      <w:r w:rsidRPr="00282FAF">
        <w:rPr>
          <w:rFonts w:eastAsia="Calibri"/>
          <w:color w:val="auto"/>
          <w:sz w:val="24"/>
          <w:szCs w:val="24"/>
          <w:lang w:eastAsia="en-US"/>
        </w:rPr>
        <w:t xml:space="preserve"> París: UNESCO.</w:t>
      </w:r>
    </w:p>
    <w:p w:rsidR="00282FAF" w:rsidRPr="00282FAF" w:rsidRDefault="00282FAF" w:rsidP="00282FAF">
      <w:pPr>
        <w:spacing w:after="160" w:line="259" w:lineRule="auto"/>
        <w:ind w:left="709" w:hanging="709"/>
        <w:rPr>
          <w:rFonts w:eastAsia="Calibri"/>
          <w:color w:val="auto"/>
          <w:sz w:val="24"/>
          <w:szCs w:val="24"/>
          <w:lang w:val="es-ES" w:eastAsia="en-US"/>
        </w:rPr>
      </w:pPr>
      <w:r w:rsidRPr="00282FAF">
        <w:rPr>
          <w:rFonts w:eastAsia="Calibri"/>
          <w:color w:val="auto"/>
          <w:sz w:val="24"/>
          <w:szCs w:val="24"/>
          <w:lang w:eastAsia="en-US"/>
        </w:rPr>
        <w:t xml:space="preserve">Vilá, R. y Bisquerra, R. (2014). </w:t>
      </w:r>
      <w:r w:rsidRPr="00282FAF">
        <w:rPr>
          <w:rFonts w:eastAsia="Calibri"/>
          <w:color w:val="auto"/>
          <w:sz w:val="24"/>
          <w:szCs w:val="24"/>
          <w:lang w:val="es-ES" w:eastAsia="en-US"/>
        </w:rPr>
        <w:t xml:space="preserve">El análisis cuantitativo de datos. En R. Bisquerra, </w:t>
      </w:r>
      <w:r w:rsidRPr="00282FAF">
        <w:rPr>
          <w:rFonts w:eastAsia="Calibri"/>
          <w:i/>
          <w:iCs/>
          <w:color w:val="auto"/>
          <w:sz w:val="24"/>
          <w:szCs w:val="24"/>
          <w:lang w:val="es-ES" w:eastAsia="en-US"/>
        </w:rPr>
        <w:t>Metodología de la investigación educativa</w:t>
      </w:r>
      <w:r w:rsidRPr="00282FAF">
        <w:rPr>
          <w:rFonts w:eastAsia="Calibri"/>
          <w:color w:val="auto"/>
          <w:sz w:val="24"/>
          <w:szCs w:val="24"/>
          <w:lang w:val="es-ES" w:eastAsia="en-US"/>
        </w:rPr>
        <w:t xml:space="preserve"> (pp. 259-271). Madrid: La Muralla.</w:t>
      </w:r>
    </w:p>
    <w:p w:rsidR="00282FAF" w:rsidRPr="00282FAF" w:rsidRDefault="00282FAF" w:rsidP="00282FAF">
      <w:pPr>
        <w:spacing w:after="160" w:line="259" w:lineRule="auto"/>
        <w:ind w:left="0" w:firstLine="0"/>
        <w:jc w:val="left"/>
        <w:rPr>
          <w:rFonts w:eastAsia="Calibri"/>
          <w:color w:val="auto"/>
          <w:sz w:val="24"/>
          <w:szCs w:val="24"/>
          <w:lang w:eastAsia="en-US"/>
        </w:rPr>
      </w:pPr>
    </w:p>
    <w:p w:rsidR="009D62A8" w:rsidRDefault="009D62A8" w:rsidP="00282FAF">
      <w:pPr>
        <w:spacing w:after="0" w:line="259" w:lineRule="auto"/>
        <w:ind w:left="0" w:right="5" w:firstLine="0"/>
      </w:pPr>
    </w:p>
    <w:sectPr w:rsidR="009D62A8">
      <w:pgSz w:w="12240" w:h="15840"/>
      <w:pgMar w:top="1440" w:right="1695"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6" w:rsidRDefault="00757576" w:rsidP="00A81908">
      <w:pPr>
        <w:spacing w:after="0" w:line="240" w:lineRule="auto"/>
      </w:pPr>
      <w:r>
        <w:separator/>
      </w:r>
    </w:p>
  </w:endnote>
  <w:endnote w:type="continuationSeparator" w:id="0">
    <w:p w:rsidR="00757576" w:rsidRDefault="00757576" w:rsidP="00A8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6" w:rsidRDefault="00757576" w:rsidP="00A81908">
      <w:pPr>
        <w:spacing w:after="0" w:line="240" w:lineRule="auto"/>
      </w:pPr>
      <w:r>
        <w:separator/>
      </w:r>
    </w:p>
  </w:footnote>
  <w:footnote w:type="continuationSeparator" w:id="0">
    <w:p w:rsidR="00757576" w:rsidRDefault="00757576" w:rsidP="00A8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F715E"/>
    <w:multiLevelType w:val="hybridMultilevel"/>
    <w:tmpl w:val="B36A8BF2"/>
    <w:lvl w:ilvl="0" w:tplc="B246AB42">
      <w:start w:val="1"/>
      <w:numFmt w:val="bullet"/>
      <w:lvlText w:val="-"/>
      <w:lvlJc w:val="left"/>
      <w:pPr>
        <w:ind w:left="360" w:hanging="360"/>
      </w:pPr>
      <w:rPr>
        <w:rFonts w:ascii="Courier New"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3A2A2072"/>
    <w:multiLevelType w:val="hybridMultilevel"/>
    <w:tmpl w:val="F264B05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5C67EA0"/>
    <w:multiLevelType w:val="hybridMultilevel"/>
    <w:tmpl w:val="5AF85F9A"/>
    <w:lvl w:ilvl="0" w:tplc="ED7AE1F6">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6580DE7"/>
    <w:multiLevelType w:val="hybridMultilevel"/>
    <w:tmpl w:val="059A3470"/>
    <w:lvl w:ilvl="0" w:tplc="FDDA2BAA">
      <w:start w:val="1"/>
      <w:numFmt w:val="bullet"/>
      <w:lvlText w:val="•"/>
      <w:lvlJc w:val="left"/>
      <w:pPr>
        <w:ind w:left="70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E9C3F1C">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44A1F0E">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D0CACF6">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D58DC9E">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E8EA6F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74E4B546">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A3E2E94">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DA67288">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674C2128"/>
    <w:multiLevelType w:val="hybridMultilevel"/>
    <w:tmpl w:val="7076D832"/>
    <w:lvl w:ilvl="0" w:tplc="B246AB42">
      <w:start w:val="1"/>
      <w:numFmt w:val="bullet"/>
      <w:lvlText w:val="-"/>
      <w:lvlJc w:val="left"/>
      <w:pPr>
        <w:ind w:left="360" w:hanging="360"/>
      </w:pPr>
      <w:rPr>
        <w:rFonts w:ascii="Courier New"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9727A33"/>
    <w:multiLevelType w:val="hybridMultilevel"/>
    <w:tmpl w:val="28883BDA"/>
    <w:lvl w:ilvl="0" w:tplc="B246AB42">
      <w:start w:val="1"/>
      <w:numFmt w:val="bullet"/>
      <w:lvlText w:val="-"/>
      <w:lvlJc w:val="left"/>
      <w:pPr>
        <w:ind w:left="36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B9D432E"/>
    <w:multiLevelType w:val="hybridMultilevel"/>
    <w:tmpl w:val="263E90DA"/>
    <w:lvl w:ilvl="0" w:tplc="B246AB42">
      <w:start w:val="1"/>
      <w:numFmt w:val="bullet"/>
      <w:lvlText w:val="-"/>
      <w:lvlJc w:val="left"/>
      <w:pPr>
        <w:ind w:left="360" w:hanging="360"/>
      </w:pPr>
      <w:rPr>
        <w:rFonts w:ascii="Courier New"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wMjAysjAyNDU0NTBV0lEKTi0uzszPAykwqgUApG+ZUywAAAA="/>
  </w:docVars>
  <w:rsids>
    <w:rsidRoot w:val="009D62A8"/>
    <w:rsid w:val="00282FAF"/>
    <w:rsid w:val="00757576"/>
    <w:rsid w:val="009D62A8"/>
    <w:rsid w:val="00A81908"/>
    <w:rsid w:val="00EE08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7" w:lineRule="auto"/>
      <w:ind w:left="371" w:hanging="371"/>
      <w:jc w:val="both"/>
    </w:pPr>
    <w:rPr>
      <w:rFonts w:ascii="Times New Roman" w:eastAsia="Times New Roman" w:hAnsi="Times New Roman" w:cs="Times New Roman"/>
      <w:color w:val="000000"/>
      <w:sz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A81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908"/>
    <w:rPr>
      <w:rFonts w:ascii="Times New Roman" w:eastAsia="Times New Roman" w:hAnsi="Times New Roman" w:cs="Times New Roman"/>
      <w:color w:val="000000"/>
      <w:sz w:val="25"/>
    </w:rPr>
  </w:style>
  <w:style w:type="paragraph" w:styleId="Piedepgina">
    <w:name w:val="footer"/>
    <w:basedOn w:val="Normal"/>
    <w:link w:val="PiedepginaCar"/>
    <w:uiPriority w:val="99"/>
    <w:unhideWhenUsed/>
    <w:rsid w:val="00A81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908"/>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reportescomunales.bcn.cl/2015/index.php/San_Fernan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s-nat.agenciaeducacion.cl/" TargetMode="External"/><Relationship Id="rId5" Type="http://schemas.openxmlformats.org/officeDocument/2006/relationships/footnotes" Target="footnotes.xml"/><Relationship Id="rId10" Type="http://schemas.openxmlformats.org/officeDocument/2006/relationships/hyperlink" Target="mailto:juan_pablo_lira@outlook.com" TargetMode="External"/><Relationship Id="rId4" Type="http://schemas.openxmlformats.org/officeDocument/2006/relationships/webSettings" Target="webSettings.xml"/><Relationship Id="rId9" Type="http://schemas.openxmlformats.org/officeDocument/2006/relationships/hyperlink" Target="mailto:rolando.angel.alvarado@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5422</Words>
  <Characters>29823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2017-07-20T10:46:00Z</dcterms:created>
  <dcterms:modified xsi:type="dcterms:W3CDTF">2017-07-20T10:46:00Z</dcterms:modified>
</cp:coreProperties>
</file>