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630A" w:rsidRDefault="00A7630A" w:rsidP="00A7630A">
      <w:pPr>
        <w:pStyle w:val="Tabletitle"/>
        <w:spacing w:line="240" w:lineRule="auto"/>
        <w:jc w:val="center"/>
      </w:pPr>
      <w:r w:rsidRPr="00F80B6D">
        <w:t>Appendix 1. List of synonyms and similar terms, including their definition, as correlated with the Inner Peripheries concept. (</w:t>
      </w:r>
      <w:r w:rsidRPr="00F80B6D">
        <w:rPr>
          <w:vertAlign w:val="superscript"/>
        </w:rPr>
        <w:t>1</w:t>
      </w:r>
      <w:r w:rsidRPr="00F80B6D">
        <w:t>) Similar terms and synonyms are used as part of keywords in search strings (see Table 1).</w:t>
      </w:r>
    </w:p>
    <w:tbl>
      <w:tblPr>
        <w:tblStyle w:val="Grigliatabella"/>
        <w:tblW w:w="0" w:type="auto"/>
        <w:tblLook w:val="04A0" w:firstRow="1" w:lastRow="0" w:firstColumn="1" w:lastColumn="0" w:noHBand="0" w:noVBand="1"/>
      </w:tblPr>
      <w:tblGrid>
        <w:gridCol w:w="1605"/>
        <w:gridCol w:w="1932"/>
        <w:gridCol w:w="7723"/>
        <w:gridCol w:w="2168"/>
      </w:tblGrid>
      <w:tr w:rsidR="00A7630A" w:rsidRPr="006619DF" w:rsidTr="009151CF">
        <w:trPr>
          <w:tblHeader/>
        </w:trPr>
        <w:tc>
          <w:tcPr>
            <w:tcW w:w="1605" w:type="dxa"/>
          </w:tcPr>
          <w:p w:rsidR="00A7630A" w:rsidRPr="006619DF" w:rsidRDefault="00A7630A" w:rsidP="009151CF">
            <w:pPr>
              <w:autoSpaceDE w:val="0"/>
              <w:autoSpaceDN w:val="0"/>
              <w:adjustRightInd w:val="0"/>
              <w:spacing w:line="240" w:lineRule="auto"/>
              <w:jc w:val="both"/>
              <w:rPr>
                <w:b/>
                <w:sz w:val="20"/>
                <w:szCs w:val="20"/>
              </w:rPr>
            </w:pPr>
            <w:r w:rsidRPr="006619DF">
              <w:rPr>
                <w:b/>
                <w:sz w:val="20"/>
                <w:szCs w:val="20"/>
              </w:rPr>
              <w:t>Similar terms/synonyms (</w:t>
            </w:r>
            <w:r w:rsidRPr="006619DF">
              <w:rPr>
                <w:b/>
                <w:sz w:val="20"/>
                <w:szCs w:val="20"/>
                <w:vertAlign w:val="superscript"/>
              </w:rPr>
              <w:t>1</w:t>
            </w:r>
            <w:r w:rsidRPr="006619DF">
              <w:rPr>
                <w:b/>
                <w:sz w:val="20"/>
                <w:szCs w:val="20"/>
              </w:rPr>
              <w:t>)</w:t>
            </w:r>
          </w:p>
        </w:tc>
        <w:tc>
          <w:tcPr>
            <w:tcW w:w="1932" w:type="dxa"/>
          </w:tcPr>
          <w:p w:rsidR="00A7630A" w:rsidRPr="00465BE8" w:rsidRDefault="00A7630A" w:rsidP="009151CF">
            <w:pPr>
              <w:autoSpaceDE w:val="0"/>
              <w:autoSpaceDN w:val="0"/>
              <w:adjustRightInd w:val="0"/>
              <w:spacing w:line="240" w:lineRule="auto"/>
              <w:jc w:val="both"/>
              <w:rPr>
                <w:b/>
                <w:sz w:val="20"/>
                <w:szCs w:val="20"/>
              </w:rPr>
            </w:pPr>
            <w:r w:rsidRPr="00F948E2">
              <w:rPr>
                <w:b/>
                <w:sz w:val="20"/>
                <w:szCs w:val="20"/>
              </w:rPr>
              <w:t>Linkage with the</w:t>
            </w:r>
            <w:r w:rsidRPr="00891CC6">
              <w:rPr>
                <w:b/>
                <w:sz w:val="20"/>
                <w:szCs w:val="20"/>
              </w:rPr>
              <w:t xml:space="preserve"> Inner P</w:t>
            </w:r>
            <w:r>
              <w:rPr>
                <w:b/>
                <w:sz w:val="20"/>
                <w:szCs w:val="20"/>
              </w:rPr>
              <w:t>eripheries’</w:t>
            </w:r>
            <w:r w:rsidRPr="00465BE8">
              <w:rPr>
                <w:b/>
                <w:sz w:val="20"/>
                <w:szCs w:val="20"/>
              </w:rPr>
              <w:t xml:space="preserve"> concept </w:t>
            </w:r>
          </w:p>
        </w:tc>
        <w:tc>
          <w:tcPr>
            <w:tcW w:w="7723" w:type="dxa"/>
          </w:tcPr>
          <w:p w:rsidR="00A7630A" w:rsidRPr="00465BE8" w:rsidRDefault="00A7630A" w:rsidP="009151CF">
            <w:pPr>
              <w:autoSpaceDE w:val="0"/>
              <w:autoSpaceDN w:val="0"/>
              <w:adjustRightInd w:val="0"/>
              <w:spacing w:line="240" w:lineRule="auto"/>
              <w:jc w:val="both"/>
              <w:rPr>
                <w:b/>
                <w:sz w:val="20"/>
                <w:szCs w:val="20"/>
              </w:rPr>
            </w:pPr>
            <w:r w:rsidRPr="00465BE8">
              <w:rPr>
                <w:b/>
                <w:sz w:val="20"/>
                <w:szCs w:val="20"/>
              </w:rPr>
              <w:t>Definition</w:t>
            </w:r>
            <w:r>
              <w:rPr>
                <w:b/>
                <w:sz w:val="20"/>
                <w:szCs w:val="20"/>
              </w:rPr>
              <w:t xml:space="preserve"> and connections with Cohesion Policy and Rural Development Policy n</w:t>
            </w:r>
          </w:p>
        </w:tc>
        <w:tc>
          <w:tcPr>
            <w:tcW w:w="2168" w:type="dxa"/>
          </w:tcPr>
          <w:p w:rsidR="00A7630A" w:rsidRPr="00465BE8" w:rsidRDefault="00A7630A" w:rsidP="009151CF">
            <w:pPr>
              <w:autoSpaceDE w:val="0"/>
              <w:autoSpaceDN w:val="0"/>
              <w:adjustRightInd w:val="0"/>
              <w:spacing w:line="240" w:lineRule="auto"/>
              <w:jc w:val="both"/>
              <w:rPr>
                <w:b/>
                <w:sz w:val="20"/>
                <w:szCs w:val="20"/>
              </w:rPr>
            </w:pPr>
            <w:r w:rsidRPr="00465BE8">
              <w:rPr>
                <w:b/>
                <w:sz w:val="20"/>
                <w:szCs w:val="20"/>
              </w:rPr>
              <w:t>Source</w:t>
            </w:r>
          </w:p>
        </w:tc>
      </w:tr>
      <w:tr w:rsidR="00A7630A" w:rsidRPr="007B7929" w:rsidTr="009151CF">
        <w:tc>
          <w:tcPr>
            <w:tcW w:w="1605" w:type="dxa"/>
          </w:tcPr>
          <w:p w:rsidR="00A7630A" w:rsidRPr="006619DF" w:rsidRDefault="00A7630A" w:rsidP="009151CF">
            <w:pPr>
              <w:autoSpaceDE w:val="0"/>
              <w:autoSpaceDN w:val="0"/>
              <w:adjustRightInd w:val="0"/>
              <w:spacing w:before="120" w:after="120" w:line="240" w:lineRule="auto"/>
              <w:jc w:val="both"/>
              <w:rPr>
                <w:sz w:val="20"/>
                <w:szCs w:val="20"/>
              </w:rPr>
            </w:pPr>
            <w:r w:rsidRPr="006619DF">
              <w:rPr>
                <w:sz w:val="20"/>
                <w:szCs w:val="20"/>
              </w:rPr>
              <w:t>Remote Rural Regions</w:t>
            </w:r>
          </w:p>
        </w:tc>
        <w:tc>
          <w:tcPr>
            <w:tcW w:w="1932" w:type="dxa"/>
          </w:tcPr>
          <w:p w:rsidR="00A7630A" w:rsidRPr="00891CC6" w:rsidRDefault="00A7630A" w:rsidP="009151CF">
            <w:pPr>
              <w:autoSpaceDE w:val="0"/>
              <w:autoSpaceDN w:val="0"/>
              <w:adjustRightInd w:val="0"/>
              <w:spacing w:before="120" w:after="120" w:line="240" w:lineRule="auto"/>
              <w:jc w:val="both"/>
              <w:rPr>
                <w:sz w:val="20"/>
                <w:szCs w:val="20"/>
              </w:rPr>
            </w:pPr>
            <w:r w:rsidRPr="00F948E2">
              <w:rPr>
                <w:sz w:val="20"/>
                <w:szCs w:val="20"/>
              </w:rPr>
              <w:t>Similar term</w:t>
            </w:r>
          </w:p>
        </w:tc>
        <w:tc>
          <w:tcPr>
            <w:tcW w:w="7723" w:type="dxa"/>
          </w:tcPr>
          <w:p w:rsidR="00A7630A" w:rsidRPr="006619DF" w:rsidRDefault="00A7630A" w:rsidP="009151CF">
            <w:pPr>
              <w:autoSpaceDE w:val="0"/>
              <w:autoSpaceDN w:val="0"/>
              <w:adjustRightInd w:val="0"/>
              <w:spacing w:before="120" w:after="120" w:line="240" w:lineRule="auto"/>
              <w:ind w:left="-41"/>
              <w:jc w:val="both"/>
              <w:rPr>
                <w:sz w:val="20"/>
                <w:szCs w:val="20"/>
              </w:rPr>
            </w:pPr>
            <w:r w:rsidRPr="00465BE8">
              <w:rPr>
                <w:sz w:val="20"/>
                <w:szCs w:val="20"/>
              </w:rPr>
              <w:t xml:space="preserve">The OECD Regional typology </w:t>
            </w:r>
            <w:r>
              <w:rPr>
                <w:sz w:val="20"/>
                <w:szCs w:val="20"/>
              </w:rPr>
              <w:t>classification is based on the “</w:t>
            </w:r>
            <w:r w:rsidRPr="00FD0664">
              <w:rPr>
                <w:sz w:val="20"/>
                <w:szCs w:val="20"/>
              </w:rPr>
              <w:t>percentage of regional population living in urban or rural communities</w:t>
            </w:r>
            <w:r>
              <w:rPr>
                <w:sz w:val="20"/>
                <w:szCs w:val="20"/>
              </w:rPr>
              <w:t>”</w:t>
            </w:r>
            <w:r w:rsidRPr="00465BE8">
              <w:rPr>
                <w:sz w:val="20"/>
                <w:szCs w:val="20"/>
              </w:rPr>
              <w:t xml:space="preserve">. The extension of this classification includes the accessibility criterion, the driving time (DT) needed to reach a highly populated centre (DT </w:t>
            </w:r>
            <w:r>
              <w:rPr>
                <w:sz w:val="20"/>
                <w:szCs w:val="20"/>
              </w:rPr>
              <w:t>“</w:t>
            </w:r>
            <w:r w:rsidRPr="00465BE8">
              <w:rPr>
                <w:sz w:val="20"/>
                <w:szCs w:val="20"/>
              </w:rPr>
              <w:t>of at least 50% of the regional population to the closest populated centre wi</w:t>
            </w:r>
            <w:r>
              <w:rPr>
                <w:sz w:val="20"/>
                <w:szCs w:val="20"/>
              </w:rPr>
              <w:t>th more than 50.000 Inhabitants”</w:t>
            </w:r>
            <w:r w:rsidRPr="00465BE8">
              <w:rPr>
                <w:sz w:val="20"/>
                <w:szCs w:val="20"/>
              </w:rPr>
              <w:t>). For the Predominantly Rural Remote, the DT is greater than 45 minutes</w:t>
            </w:r>
            <w:r>
              <w:rPr>
                <w:sz w:val="20"/>
                <w:szCs w:val="20"/>
              </w:rPr>
              <w:t xml:space="preserve"> (Italian </w:t>
            </w:r>
            <w:r w:rsidRPr="00465BE8">
              <w:rPr>
                <w:sz w:val="20"/>
                <w:szCs w:val="20"/>
              </w:rPr>
              <w:t>Department for Cohesion Policies</w:t>
            </w:r>
            <w:r>
              <w:rPr>
                <w:sz w:val="20"/>
                <w:szCs w:val="20"/>
              </w:rPr>
              <w:t xml:space="preserve"> and </w:t>
            </w:r>
            <w:proofErr w:type="spellStart"/>
            <w:r>
              <w:rPr>
                <w:sz w:val="20"/>
                <w:szCs w:val="20"/>
              </w:rPr>
              <w:t>Lucatelli</w:t>
            </w:r>
            <w:proofErr w:type="spellEnd"/>
            <w:r>
              <w:rPr>
                <w:sz w:val="20"/>
                <w:szCs w:val="20"/>
              </w:rPr>
              <w:t xml:space="preserve"> 2015</w:t>
            </w:r>
            <w:r w:rsidRPr="00465BE8">
              <w:rPr>
                <w:sz w:val="20"/>
                <w:szCs w:val="20"/>
              </w:rPr>
              <w:t xml:space="preserve">, Inner Areas DT is greater than 40 minutes from SGIs – Peripheral and Ultra-Peripheral Areas; ESPON PROFECY </w:t>
            </w:r>
            <w:r>
              <w:rPr>
                <w:sz w:val="20"/>
                <w:szCs w:val="20"/>
              </w:rPr>
              <w:t>a mean of 30 minutes from SGIs).</w:t>
            </w:r>
          </w:p>
        </w:tc>
        <w:tc>
          <w:tcPr>
            <w:tcW w:w="2168" w:type="dxa"/>
          </w:tcPr>
          <w:p w:rsidR="00A7630A" w:rsidRPr="006619DF" w:rsidRDefault="00A7630A" w:rsidP="009151CF">
            <w:pPr>
              <w:autoSpaceDE w:val="0"/>
              <w:autoSpaceDN w:val="0"/>
              <w:adjustRightInd w:val="0"/>
              <w:spacing w:before="120" w:after="120" w:line="240" w:lineRule="auto"/>
              <w:jc w:val="both"/>
              <w:rPr>
                <w:sz w:val="20"/>
                <w:szCs w:val="20"/>
              </w:rPr>
            </w:pPr>
            <w:r w:rsidRPr="005C702C">
              <w:rPr>
                <w:sz w:val="20"/>
                <w:szCs w:val="20"/>
              </w:rPr>
              <w:t>(</w:t>
            </w:r>
            <w:proofErr w:type="spellStart"/>
            <w:r w:rsidRPr="005C702C">
              <w:rPr>
                <w:sz w:val="20"/>
                <w:szCs w:val="20"/>
              </w:rPr>
              <w:t>Brezzi</w:t>
            </w:r>
            <w:proofErr w:type="spellEnd"/>
            <w:r w:rsidRPr="005C702C">
              <w:rPr>
                <w:sz w:val="20"/>
                <w:szCs w:val="20"/>
              </w:rPr>
              <w:t xml:space="preserve">, Dijkstra, </w:t>
            </w:r>
            <w:r>
              <w:rPr>
                <w:sz w:val="20"/>
                <w:szCs w:val="20"/>
              </w:rPr>
              <w:t>&amp;</w:t>
            </w:r>
            <w:r w:rsidRPr="005C702C">
              <w:rPr>
                <w:sz w:val="20"/>
                <w:szCs w:val="20"/>
              </w:rPr>
              <w:t xml:space="preserve"> Ruiz 2011, pp. 3, 6)</w:t>
            </w:r>
          </w:p>
        </w:tc>
      </w:tr>
      <w:tr w:rsidR="00A7630A" w:rsidRPr="006619DF" w:rsidTr="009151CF">
        <w:tc>
          <w:tcPr>
            <w:tcW w:w="1605" w:type="dxa"/>
          </w:tcPr>
          <w:p w:rsidR="00A7630A" w:rsidRPr="006619DF" w:rsidRDefault="00A7630A" w:rsidP="009151CF">
            <w:pPr>
              <w:autoSpaceDE w:val="0"/>
              <w:autoSpaceDN w:val="0"/>
              <w:adjustRightInd w:val="0"/>
              <w:spacing w:before="120" w:after="120" w:line="240" w:lineRule="auto"/>
              <w:ind w:left="-41"/>
              <w:jc w:val="both"/>
              <w:rPr>
                <w:sz w:val="20"/>
                <w:szCs w:val="20"/>
              </w:rPr>
            </w:pPr>
            <w:r w:rsidRPr="006619DF">
              <w:rPr>
                <w:sz w:val="20"/>
                <w:szCs w:val="20"/>
              </w:rPr>
              <w:t>Peripheral Areas</w:t>
            </w:r>
          </w:p>
        </w:tc>
        <w:tc>
          <w:tcPr>
            <w:tcW w:w="1932" w:type="dxa"/>
          </w:tcPr>
          <w:p w:rsidR="00A7630A" w:rsidRPr="00891CC6" w:rsidRDefault="00A7630A" w:rsidP="009151CF">
            <w:pPr>
              <w:autoSpaceDE w:val="0"/>
              <w:autoSpaceDN w:val="0"/>
              <w:adjustRightInd w:val="0"/>
              <w:spacing w:before="120" w:after="120" w:line="240" w:lineRule="auto"/>
              <w:ind w:left="-41"/>
              <w:jc w:val="both"/>
              <w:rPr>
                <w:sz w:val="20"/>
                <w:szCs w:val="20"/>
              </w:rPr>
            </w:pPr>
            <w:r w:rsidRPr="00F948E2">
              <w:rPr>
                <w:sz w:val="20"/>
                <w:szCs w:val="20"/>
              </w:rPr>
              <w:t>Similar term</w:t>
            </w:r>
          </w:p>
        </w:tc>
        <w:tc>
          <w:tcPr>
            <w:tcW w:w="7723" w:type="dxa"/>
          </w:tcPr>
          <w:p w:rsidR="00A7630A" w:rsidRPr="00465BE8" w:rsidRDefault="00A7630A" w:rsidP="009151CF">
            <w:pPr>
              <w:autoSpaceDE w:val="0"/>
              <w:autoSpaceDN w:val="0"/>
              <w:adjustRightInd w:val="0"/>
              <w:spacing w:before="120" w:after="120" w:line="240" w:lineRule="auto"/>
              <w:ind w:left="-41"/>
              <w:jc w:val="both"/>
              <w:rPr>
                <w:sz w:val="20"/>
                <w:szCs w:val="20"/>
              </w:rPr>
            </w:pPr>
            <w:r>
              <w:rPr>
                <w:sz w:val="20"/>
                <w:szCs w:val="20"/>
              </w:rPr>
              <w:t>“</w:t>
            </w:r>
            <w:r w:rsidRPr="00465BE8">
              <w:rPr>
                <w:sz w:val="20"/>
                <w:szCs w:val="20"/>
              </w:rPr>
              <w:t>Periphery, peripherality and peripheral area are, in gene</w:t>
            </w:r>
            <w:r>
              <w:rPr>
                <w:sz w:val="20"/>
                <w:szCs w:val="20"/>
              </w:rPr>
              <w:t>ral, more frequently used terms”</w:t>
            </w:r>
            <w:r w:rsidRPr="00465BE8">
              <w:rPr>
                <w:sz w:val="20"/>
                <w:szCs w:val="20"/>
              </w:rPr>
              <w:t>, and concern marginality and peripherality concepts explanations</w:t>
            </w:r>
            <w:r>
              <w:rPr>
                <w:sz w:val="20"/>
                <w:szCs w:val="20"/>
              </w:rPr>
              <w:t>.</w:t>
            </w:r>
          </w:p>
        </w:tc>
        <w:tc>
          <w:tcPr>
            <w:tcW w:w="2168" w:type="dxa"/>
          </w:tcPr>
          <w:p w:rsidR="00A7630A" w:rsidRPr="006619DF" w:rsidRDefault="00A7630A" w:rsidP="009151CF">
            <w:pPr>
              <w:autoSpaceDE w:val="0"/>
              <w:autoSpaceDN w:val="0"/>
              <w:adjustRightInd w:val="0"/>
              <w:spacing w:before="120" w:after="120" w:line="240" w:lineRule="auto"/>
              <w:ind w:left="-41"/>
              <w:jc w:val="both"/>
              <w:rPr>
                <w:sz w:val="20"/>
                <w:szCs w:val="20"/>
              </w:rPr>
            </w:pPr>
            <w:r>
              <w:rPr>
                <w:sz w:val="20"/>
                <w:szCs w:val="20"/>
              </w:rPr>
              <w:t>(</w:t>
            </w:r>
            <w:proofErr w:type="spellStart"/>
            <w:r>
              <w:rPr>
                <w:sz w:val="20"/>
                <w:szCs w:val="20"/>
              </w:rPr>
              <w:t>Pileček</w:t>
            </w:r>
            <w:proofErr w:type="spellEnd"/>
            <w:r>
              <w:rPr>
                <w:sz w:val="20"/>
                <w:szCs w:val="20"/>
              </w:rPr>
              <w:t xml:space="preserve"> &amp;</w:t>
            </w:r>
            <w:r w:rsidRPr="005C702C">
              <w:rPr>
                <w:sz w:val="20"/>
                <w:szCs w:val="20"/>
              </w:rPr>
              <w:t xml:space="preserve"> </w:t>
            </w:r>
            <w:proofErr w:type="spellStart"/>
            <w:r w:rsidRPr="005C702C">
              <w:rPr>
                <w:sz w:val="20"/>
                <w:szCs w:val="20"/>
              </w:rPr>
              <w:t>Jančák</w:t>
            </w:r>
            <w:proofErr w:type="spellEnd"/>
            <w:r w:rsidRPr="005C702C">
              <w:rPr>
                <w:sz w:val="20"/>
                <w:szCs w:val="20"/>
              </w:rPr>
              <w:t xml:space="preserve"> 2011, p. 45)</w:t>
            </w:r>
          </w:p>
        </w:tc>
      </w:tr>
      <w:tr w:rsidR="00A7630A" w:rsidRPr="006619DF" w:rsidTr="009151CF">
        <w:tc>
          <w:tcPr>
            <w:tcW w:w="1605" w:type="dxa"/>
          </w:tcPr>
          <w:p w:rsidR="00A7630A" w:rsidRPr="00465BE8" w:rsidRDefault="00A7630A" w:rsidP="009151CF">
            <w:pPr>
              <w:autoSpaceDE w:val="0"/>
              <w:autoSpaceDN w:val="0"/>
              <w:adjustRightInd w:val="0"/>
              <w:spacing w:before="120" w:after="120" w:line="240" w:lineRule="auto"/>
              <w:ind w:left="-41"/>
              <w:jc w:val="both"/>
              <w:rPr>
                <w:sz w:val="20"/>
                <w:szCs w:val="20"/>
              </w:rPr>
            </w:pPr>
            <w:r w:rsidRPr="006619DF">
              <w:rPr>
                <w:sz w:val="20"/>
                <w:szCs w:val="20"/>
              </w:rPr>
              <w:t>Marginal Areas</w:t>
            </w:r>
          </w:p>
        </w:tc>
        <w:tc>
          <w:tcPr>
            <w:tcW w:w="1932" w:type="dxa"/>
          </w:tcPr>
          <w:p w:rsidR="00A7630A" w:rsidRPr="006619DF" w:rsidRDefault="00A7630A" w:rsidP="009151CF">
            <w:pPr>
              <w:autoSpaceDE w:val="0"/>
              <w:autoSpaceDN w:val="0"/>
              <w:adjustRightInd w:val="0"/>
              <w:spacing w:before="120" w:after="120" w:line="240" w:lineRule="auto"/>
              <w:ind w:left="-41"/>
              <w:jc w:val="both"/>
              <w:rPr>
                <w:sz w:val="20"/>
                <w:szCs w:val="20"/>
              </w:rPr>
            </w:pPr>
            <w:r w:rsidRPr="006619DF">
              <w:rPr>
                <w:sz w:val="20"/>
                <w:szCs w:val="20"/>
              </w:rPr>
              <w:t>Similar term</w:t>
            </w:r>
          </w:p>
        </w:tc>
        <w:tc>
          <w:tcPr>
            <w:tcW w:w="7723" w:type="dxa"/>
          </w:tcPr>
          <w:p w:rsidR="00A7630A" w:rsidRPr="00891CC6" w:rsidRDefault="00A7630A" w:rsidP="009151CF">
            <w:pPr>
              <w:autoSpaceDE w:val="0"/>
              <w:autoSpaceDN w:val="0"/>
              <w:adjustRightInd w:val="0"/>
              <w:spacing w:before="120" w:after="120" w:line="240" w:lineRule="auto"/>
              <w:ind w:left="-41"/>
              <w:jc w:val="both"/>
              <w:rPr>
                <w:sz w:val="20"/>
                <w:szCs w:val="20"/>
              </w:rPr>
            </w:pPr>
            <w:r>
              <w:rPr>
                <w:sz w:val="20"/>
                <w:szCs w:val="20"/>
              </w:rPr>
              <w:t>“</w:t>
            </w:r>
            <w:r w:rsidRPr="00F948E2">
              <w:rPr>
                <w:sz w:val="20"/>
                <w:szCs w:val="20"/>
              </w:rPr>
              <w:t xml:space="preserve">Marginality is shaped more by a </w:t>
            </w:r>
            <w:r w:rsidRPr="00891CC6">
              <w:rPr>
                <w:sz w:val="20"/>
                <w:szCs w:val="20"/>
              </w:rPr>
              <w:t>“multi-dimensional” spectrum of problems, from economic and cultural to social, political and historical ones</w:t>
            </w:r>
            <w:r>
              <w:rPr>
                <w:sz w:val="20"/>
                <w:szCs w:val="20"/>
              </w:rPr>
              <w:t>”</w:t>
            </w:r>
            <w:r w:rsidRPr="00891CC6">
              <w:rPr>
                <w:sz w:val="20"/>
                <w:szCs w:val="20"/>
              </w:rPr>
              <w:t xml:space="preserve">. </w:t>
            </w:r>
          </w:p>
        </w:tc>
        <w:tc>
          <w:tcPr>
            <w:tcW w:w="2168" w:type="dxa"/>
          </w:tcPr>
          <w:p w:rsidR="00A7630A" w:rsidRPr="006619DF" w:rsidRDefault="00A7630A" w:rsidP="009151CF">
            <w:pPr>
              <w:autoSpaceDE w:val="0"/>
              <w:autoSpaceDN w:val="0"/>
              <w:adjustRightInd w:val="0"/>
              <w:spacing w:before="120" w:after="120" w:line="240" w:lineRule="auto"/>
              <w:ind w:left="-41"/>
              <w:jc w:val="both"/>
              <w:rPr>
                <w:sz w:val="20"/>
                <w:szCs w:val="20"/>
              </w:rPr>
            </w:pPr>
            <w:r>
              <w:rPr>
                <w:sz w:val="20"/>
                <w:szCs w:val="20"/>
              </w:rPr>
              <w:t>(</w:t>
            </w:r>
            <w:proofErr w:type="spellStart"/>
            <w:r>
              <w:rPr>
                <w:sz w:val="20"/>
                <w:szCs w:val="20"/>
              </w:rPr>
              <w:t>Pileček</w:t>
            </w:r>
            <w:proofErr w:type="spellEnd"/>
            <w:r>
              <w:rPr>
                <w:sz w:val="20"/>
                <w:szCs w:val="20"/>
              </w:rPr>
              <w:t xml:space="preserve"> &amp;</w:t>
            </w:r>
            <w:r w:rsidRPr="005C702C">
              <w:rPr>
                <w:sz w:val="20"/>
                <w:szCs w:val="20"/>
              </w:rPr>
              <w:t xml:space="preserve"> </w:t>
            </w:r>
            <w:proofErr w:type="spellStart"/>
            <w:r w:rsidRPr="005C702C">
              <w:rPr>
                <w:sz w:val="20"/>
                <w:szCs w:val="20"/>
              </w:rPr>
              <w:t>Jančák</w:t>
            </w:r>
            <w:proofErr w:type="spellEnd"/>
            <w:r w:rsidRPr="005C702C">
              <w:rPr>
                <w:sz w:val="20"/>
                <w:szCs w:val="20"/>
              </w:rPr>
              <w:t xml:space="preserve"> 2011, p. 45)</w:t>
            </w:r>
          </w:p>
        </w:tc>
      </w:tr>
      <w:tr w:rsidR="00A7630A" w:rsidRPr="008316D0" w:rsidTr="009151CF">
        <w:tc>
          <w:tcPr>
            <w:tcW w:w="1605" w:type="dxa"/>
          </w:tcPr>
          <w:p w:rsidR="00A7630A" w:rsidRPr="008316D0" w:rsidRDefault="00A7630A" w:rsidP="009151CF">
            <w:pPr>
              <w:autoSpaceDE w:val="0"/>
              <w:autoSpaceDN w:val="0"/>
              <w:adjustRightInd w:val="0"/>
              <w:spacing w:before="120" w:after="120" w:line="240" w:lineRule="auto"/>
              <w:ind w:left="-41"/>
              <w:jc w:val="both"/>
              <w:rPr>
                <w:sz w:val="20"/>
                <w:szCs w:val="20"/>
              </w:rPr>
            </w:pPr>
            <w:r w:rsidRPr="008316D0">
              <w:rPr>
                <w:sz w:val="20"/>
                <w:szCs w:val="20"/>
              </w:rPr>
              <w:t>Internal Peripheries</w:t>
            </w:r>
          </w:p>
        </w:tc>
        <w:tc>
          <w:tcPr>
            <w:tcW w:w="1932" w:type="dxa"/>
          </w:tcPr>
          <w:p w:rsidR="00A7630A" w:rsidRPr="008316D0" w:rsidRDefault="00A7630A" w:rsidP="009151CF">
            <w:pPr>
              <w:autoSpaceDE w:val="0"/>
              <w:autoSpaceDN w:val="0"/>
              <w:adjustRightInd w:val="0"/>
              <w:spacing w:before="120" w:after="120" w:line="240" w:lineRule="auto"/>
              <w:ind w:left="-41"/>
              <w:jc w:val="both"/>
              <w:rPr>
                <w:sz w:val="20"/>
                <w:szCs w:val="20"/>
              </w:rPr>
            </w:pPr>
            <w:r w:rsidRPr="008316D0">
              <w:rPr>
                <w:sz w:val="20"/>
                <w:szCs w:val="20"/>
              </w:rPr>
              <w:t>Similar term</w:t>
            </w:r>
          </w:p>
        </w:tc>
        <w:tc>
          <w:tcPr>
            <w:tcW w:w="7723" w:type="dxa"/>
          </w:tcPr>
          <w:p w:rsidR="00A7630A" w:rsidRPr="008316D0" w:rsidRDefault="00A7630A" w:rsidP="009151CF">
            <w:pPr>
              <w:autoSpaceDE w:val="0"/>
              <w:autoSpaceDN w:val="0"/>
              <w:adjustRightInd w:val="0"/>
              <w:spacing w:before="120" w:after="120" w:line="240" w:lineRule="auto"/>
              <w:ind w:left="-41"/>
              <w:jc w:val="both"/>
              <w:rPr>
                <w:sz w:val="20"/>
                <w:szCs w:val="20"/>
              </w:rPr>
            </w:pPr>
            <w:r w:rsidRPr="008316D0">
              <w:rPr>
                <w:sz w:val="20"/>
                <w:szCs w:val="20"/>
              </w:rPr>
              <w:t>A background Report drawn up for the Territorial Agenda 2020 (TA2020), defined in 2011 for the first time th</w:t>
            </w:r>
            <w:r>
              <w:rPr>
                <w:sz w:val="20"/>
                <w:szCs w:val="20"/>
              </w:rPr>
              <w:t>e word Internal Peripheries as “</w:t>
            </w:r>
            <w:r w:rsidRPr="008316D0">
              <w:rPr>
                <w:sz w:val="20"/>
                <w:szCs w:val="20"/>
              </w:rPr>
              <w:t>unique types of rura</w:t>
            </w:r>
            <w:r>
              <w:rPr>
                <w:sz w:val="20"/>
                <w:szCs w:val="20"/>
              </w:rPr>
              <w:t>l peripheries in European terms”.</w:t>
            </w:r>
          </w:p>
        </w:tc>
        <w:tc>
          <w:tcPr>
            <w:tcW w:w="2168" w:type="dxa"/>
          </w:tcPr>
          <w:p w:rsidR="00A7630A" w:rsidRPr="008316D0" w:rsidRDefault="00A7630A" w:rsidP="009151CF">
            <w:pPr>
              <w:autoSpaceDE w:val="0"/>
              <w:autoSpaceDN w:val="0"/>
              <w:adjustRightInd w:val="0"/>
              <w:spacing w:before="120" w:after="120" w:line="240" w:lineRule="auto"/>
              <w:ind w:left="-41"/>
              <w:jc w:val="both"/>
              <w:rPr>
                <w:sz w:val="20"/>
                <w:szCs w:val="20"/>
              </w:rPr>
            </w:pPr>
            <w:r w:rsidRPr="008316D0">
              <w:rPr>
                <w:sz w:val="20"/>
                <w:szCs w:val="20"/>
              </w:rPr>
              <w:t xml:space="preserve">(Ministry of National Development and VÁTI </w:t>
            </w:r>
            <w:proofErr w:type="spellStart"/>
            <w:r w:rsidRPr="008316D0">
              <w:rPr>
                <w:sz w:val="20"/>
                <w:szCs w:val="20"/>
              </w:rPr>
              <w:t>Nonprofit</w:t>
            </w:r>
            <w:proofErr w:type="spellEnd"/>
            <w:r w:rsidRPr="008316D0">
              <w:rPr>
                <w:sz w:val="20"/>
                <w:szCs w:val="20"/>
              </w:rPr>
              <w:t xml:space="preserve"> Ltd 2011, p. 57)</w:t>
            </w:r>
          </w:p>
        </w:tc>
      </w:tr>
      <w:tr w:rsidR="00A7630A" w:rsidRPr="00A7630A" w:rsidTr="009151CF">
        <w:tc>
          <w:tcPr>
            <w:tcW w:w="1605" w:type="dxa"/>
          </w:tcPr>
          <w:p w:rsidR="00A7630A" w:rsidRPr="008316D0" w:rsidRDefault="00A7630A" w:rsidP="009151CF">
            <w:pPr>
              <w:autoSpaceDE w:val="0"/>
              <w:autoSpaceDN w:val="0"/>
              <w:adjustRightInd w:val="0"/>
              <w:spacing w:before="120" w:after="120" w:line="240" w:lineRule="auto"/>
              <w:ind w:left="-41"/>
              <w:jc w:val="both"/>
              <w:rPr>
                <w:sz w:val="20"/>
                <w:szCs w:val="20"/>
              </w:rPr>
            </w:pPr>
            <w:r w:rsidRPr="008316D0">
              <w:rPr>
                <w:sz w:val="20"/>
                <w:szCs w:val="20"/>
              </w:rPr>
              <w:t>Inner Areas</w:t>
            </w:r>
          </w:p>
        </w:tc>
        <w:tc>
          <w:tcPr>
            <w:tcW w:w="1932" w:type="dxa"/>
          </w:tcPr>
          <w:p w:rsidR="00A7630A" w:rsidRPr="008316D0" w:rsidRDefault="00A7630A" w:rsidP="009151CF">
            <w:pPr>
              <w:autoSpaceDE w:val="0"/>
              <w:autoSpaceDN w:val="0"/>
              <w:adjustRightInd w:val="0"/>
              <w:spacing w:before="120" w:after="120" w:line="240" w:lineRule="auto"/>
              <w:ind w:left="-41"/>
              <w:jc w:val="both"/>
              <w:rPr>
                <w:sz w:val="20"/>
                <w:szCs w:val="20"/>
              </w:rPr>
            </w:pPr>
            <w:r w:rsidRPr="008316D0">
              <w:rPr>
                <w:sz w:val="20"/>
                <w:szCs w:val="20"/>
              </w:rPr>
              <w:t>Similar term</w:t>
            </w:r>
          </w:p>
        </w:tc>
        <w:tc>
          <w:tcPr>
            <w:tcW w:w="7723" w:type="dxa"/>
          </w:tcPr>
          <w:p w:rsidR="00A7630A" w:rsidRPr="008316D0" w:rsidRDefault="00A7630A" w:rsidP="009151CF">
            <w:pPr>
              <w:autoSpaceDE w:val="0"/>
              <w:autoSpaceDN w:val="0"/>
              <w:adjustRightInd w:val="0"/>
              <w:spacing w:before="120" w:after="120" w:line="240" w:lineRule="auto"/>
              <w:ind w:left="-41"/>
              <w:jc w:val="both"/>
              <w:rPr>
                <w:sz w:val="20"/>
                <w:szCs w:val="20"/>
              </w:rPr>
            </w:pPr>
            <w:r w:rsidRPr="008316D0">
              <w:rPr>
                <w:sz w:val="20"/>
                <w:szCs w:val="20"/>
              </w:rPr>
              <w:t>Within the framework of the Italian Nati</w:t>
            </w:r>
            <w:r>
              <w:rPr>
                <w:sz w:val="20"/>
                <w:szCs w:val="20"/>
              </w:rPr>
              <w:t>onal Strategy for Inner Areas: “</w:t>
            </w:r>
            <w:r w:rsidRPr="008316D0">
              <w:rPr>
                <w:sz w:val="20"/>
                <w:szCs w:val="20"/>
              </w:rPr>
              <w:t>The basic idea from which the methodology arises is that no economic or social development is possible without the provision of adequate education, health and transport services. The so</w:t>
            </w:r>
            <w:r>
              <w:rPr>
                <w:sz w:val="20"/>
                <w:szCs w:val="20"/>
              </w:rPr>
              <w:t>-called</w:t>
            </w:r>
            <w:r w:rsidRPr="008316D0">
              <w:rPr>
                <w:sz w:val="20"/>
                <w:szCs w:val="20"/>
              </w:rPr>
              <w:t xml:space="preserve"> Services </w:t>
            </w:r>
            <w:proofErr w:type="spellStart"/>
            <w:r w:rsidRPr="008316D0">
              <w:rPr>
                <w:sz w:val="20"/>
                <w:szCs w:val="20"/>
              </w:rPr>
              <w:t>centers</w:t>
            </w:r>
            <w:proofErr w:type="spellEnd"/>
            <w:r w:rsidRPr="008316D0">
              <w:rPr>
                <w:sz w:val="20"/>
                <w:szCs w:val="20"/>
              </w:rPr>
              <w:t xml:space="preserve"> offer: an exhaustive range of secondary schools; at least a 1st level DEA hospital; at least a </w:t>
            </w:r>
            <w:r>
              <w:rPr>
                <w:sz w:val="20"/>
                <w:szCs w:val="20"/>
              </w:rPr>
              <w:t>“Silver – type” railway station”</w:t>
            </w:r>
            <w:r w:rsidRPr="008316D0">
              <w:rPr>
                <w:sz w:val="20"/>
                <w:szCs w:val="20"/>
              </w:rPr>
              <w:t xml:space="preserve"> accordingly to the Italian Department for Cohesion Policies definition</w:t>
            </w:r>
            <w:r>
              <w:rPr>
                <w:sz w:val="20"/>
                <w:szCs w:val="20"/>
              </w:rPr>
              <w:t>.</w:t>
            </w:r>
          </w:p>
        </w:tc>
        <w:tc>
          <w:tcPr>
            <w:tcW w:w="2168" w:type="dxa"/>
          </w:tcPr>
          <w:p w:rsidR="00A7630A" w:rsidRPr="00A7630A" w:rsidRDefault="00A7630A" w:rsidP="009151CF">
            <w:pPr>
              <w:autoSpaceDE w:val="0"/>
              <w:autoSpaceDN w:val="0"/>
              <w:adjustRightInd w:val="0"/>
              <w:spacing w:before="120" w:after="120" w:line="240" w:lineRule="auto"/>
              <w:ind w:left="-41"/>
              <w:jc w:val="both"/>
              <w:rPr>
                <w:sz w:val="20"/>
                <w:szCs w:val="20"/>
                <w:lang w:val="it-IT"/>
              </w:rPr>
            </w:pPr>
            <w:r w:rsidRPr="00A7630A">
              <w:rPr>
                <w:sz w:val="20"/>
                <w:szCs w:val="20"/>
                <w:lang w:val="it-IT"/>
              </w:rPr>
              <w:t xml:space="preserve">(Lucatelli, Carlucci, &amp; </w:t>
            </w:r>
            <w:proofErr w:type="spellStart"/>
            <w:r w:rsidRPr="00A7630A">
              <w:rPr>
                <w:sz w:val="20"/>
                <w:szCs w:val="20"/>
                <w:lang w:val="it-IT"/>
              </w:rPr>
              <w:t>Guerrizio</w:t>
            </w:r>
            <w:proofErr w:type="spellEnd"/>
            <w:r w:rsidRPr="00A7630A">
              <w:rPr>
                <w:sz w:val="20"/>
                <w:szCs w:val="20"/>
                <w:lang w:val="it-IT"/>
              </w:rPr>
              <w:t xml:space="preserve"> 2013, p. 71; AUTHOR 4, 2016)</w:t>
            </w:r>
          </w:p>
        </w:tc>
      </w:tr>
      <w:tr w:rsidR="00A7630A" w:rsidRPr="006619DF" w:rsidTr="009151CF">
        <w:tc>
          <w:tcPr>
            <w:tcW w:w="1605" w:type="dxa"/>
          </w:tcPr>
          <w:p w:rsidR="00A7630A" w:rsidRPr="006619DF" w:rsidRDefault="00A7630A" w:rsidP="009151CF">
            <w:pPr>
              <w:autoSpaceDE w:val="0"/>
              <w:autoSpaceDN w:val="0"/>
              <w:adjustRightInd w:val="0"/>
              <w:spacing w:before="120" w:after="120" w:line="240" w:lineRule="auto"/>
              <w:ind w:left="-41"/>
              <w:jc w:val="both"/>
              <w:rPr>
                <w:sz w:val="20"/>
                <w:szCs w:val="20"/>
              </w:rPr>
            </w:pPr>
            <w:r w:rsidRPr="006619DF">
              <w:rPr>
                <w:sz w:val="20"/>
                <w:szCs w:val="20"/>
              </w:rPr>
              <w:lastRenderedPageBreak/>
              <w:t>Internal Areas</w:t>
            </w:r>
          </w:p>
        </w:tc>
        <w:tc>
          <w:tcPr>
            <w:tcW w:w="1932" w:type="dxa"/>
          </w:tcPr>
          <w:p w:rsidR="00A7630A" w:rsidRPr="00F948E2" w:rsidRDefault="00A7630A" w:rsidP="009151CF">
            <w:pPr>
              <w:autoSpaceDE w:val="0"/>
              <w:autoSpaceDN w:val="0"/>
              <w:adjustRightInd w:val="0"/>
              <w:spacing w:before="120" w:after="120" w:line="240" w:lineRule="auto"/>
              <w:ind w:left="-41"/>
              <w:jc w:val="both"/>
              <w:rPr>
                <w:sz w:val="20"/>
                <w:szCs w:val="20"/>
              </w:rPr>
            </w:pPr>
            <w:r w:rsidRPr="00F948E2">
              <w:rPr>
                <w:sz w:val="20"/>
                <w:szCs w:val="20"/>
              </w:rPr>
              <w:t>Synonym</w:t>
            </w:r>
            <w:r>
              <w:rPr>
                <w:sz w:val="20"/>
                <w:szCs w:val="20"/>
              </w:rPr>
              <w:t xml:space="preserve"> (to Inner Area)</w:t>
            </w:r>
          </w:p>
        </w:tc>
        <w:tc>
          <w:tcPr>
            <w:tcW w:w="7723" w:type="dxa"/>
          </w:tcPr>
          <w:p w:rsidR="00A7630A" w:rsidRPr="00D12612" w:rsidRDefault="00A7630A" w:rsidP="009151CF">
            <w:pPr>
              <w:autoSpaceDE w:val="0"/>
              <w:autoSpaceDN w:val="0"/>
              <w:adjustRightInd w:val="0"/>
              <w:spacing w:before="120" w:after="120" w:line="240" w:lineRule="auto"/>
              <w:ind w:left="-41"/>
              <w:jc w:val="both"/>
              <w:rPr>
                <w:sz w:val="20"/>
                <w:szCs w:val="20"/>
              </w:rPr>
            </w:pPr>
            <w:r w:rsidRPr="00891CC6">
              <w:rPr>
                <w:sz w:val="20"/>
                <w:szCs w:val="20"/>
              </w:rPr>
              <w:t>According to the Italian Department of Development and Economic Cohesion definition</w:t>
            </w:r>
            <w:r>
              <w:rPr>
                <w:sz w:val="20"/>
                <w:szCs w:val="20"/>
              </w:rPr>
              <w:t>, an area is “internal”</w:t>
            </w:r>
            <w:r w:rsidRPr="00465BE8">
              <w:rPr>
                <w:sz w:val="20"/>
                <w:szCs w:val="20"/>
              </w:rPr>
              <w:t xml:space="preserve"> if it is located far away f</w:t>
            </w:r>
            <w:r>
              <w:rPr>
                <w:sz w:val="20"/>
                <w:szCs w:val="20"/>
              </w:rPr>
              <w:t>rom main facilities, while the “poles”</w:t>
            </w:r>
            <w:r w:rsidRPr="00465BE8">
              <w:rPr>
                <w:sz w:val="20"/>
                <w:szCs w:val="20"/>
              </w:rPr>
              <w:t xml:space="preserve"> are classified according to the facilities they can offer – a mistaken English translation from Inner Areas previous definition</w:t>
            </w:r>
          </w:p>
        </w:tc>
        <w:tc>
          <w:tcPr>
            <w:tcW w:w="2168" w:type="dxa"/>
          </w:tcPr>
          <w:p w:rsidR="00A7630A" w:rsidRPr="006619DF" w:rsidRDefault="00A7630A" w:rsidP="009151CF">
            <w:pPr>
              <w:autoSpaceDE w:val="0"/>
              <w:autoSpaceDN w:val="0"/>
              <w:adjustRightInd w:val="0"/>
              <w:spacing w:before="120" w:after="120" w:line="240" w:lineRule="auto"/>
              <w:ind w:left="-41"/>
              <w:jc w:val="both"/>
              <w:rPr>
                <w:sz w:val="20"/>
                <w:szCs w:val="20"/>
              </w:rPr>
            </w:pPr>
            <w:r w:rsidRPr="005C702C">
              <w:rPr>
                <w:sz w:val="20"/>
                <w:szCs w:val="20"/>
              </w:rPr>
              <w:t>(</w:t>
            </w:r>
            <w:proofErr w:type="spellStart"/>
            <w:r w:rsidRPr="005C702C">
              <w:rPr>
                <w:sz w:val="20"/>
                <w:szCs w:val="20"/>
              </w:rPr>
              <w:t>Saccomani</w:t>
            </w:r>
            <w:proofErr w:type="spellEnd"/>
            <w:r w:rsidRPr="005C702C">
              <w:rPr>
                <w:sz w:val="20"/>
                <w:szCs w:val="20"/>
              </w:rPr>
              <w:t xml:space="preserve"> 2014 p. 104)</w:t>
            </w:r>
          </w:p>
        </w:tc>
      </w:tr>
      <w:tr w:rsidR="00A7630A" w:rsidRPr="006619DF" w:rsidTr="009151CF">
        <w:tc>
          <w:tcPr>
            <w:tcW w:w="1605" w:type="dxa"/>
          </w:tcPr>
          <w:p w:rsidR="00A7630A" w:rsidRPr="006619DF" w:rsidRDefault="00A7630A" w:rsidP="009151CF">
            <w:pPr>
              <w:autoSpaceDE w:val="0"/>
              <w:autoSpaceDN w:val="0"/>
              <w:adjustRightInd w:val="0"/>
              <w:spacing w:before="120" w:after="120" w:line="240" w:lineRule="auto"/>
              <w:ind w:left="-41"/>
              <w:jc w:val="both"/>
              <w:rPr>
                <w:sz w:val="20"/>
                <w:szCs w:val="20"/>
              </w:rPr>
            </w:pPr>
            <w:r w:rsidRPr="006619DF">
              <w:rPr>
                <w:sz w:val="20"/>
                <w:szCs w:val="20"/>
              </w:rPr>
              <w:t>Inland Areas</w:t>
            </w:r>
          </w:p>
        </w:tc>
        <w:tc>
          <w:tcPr>
            <w:tcW w:w="1932" w:type="dxa"/>
          </w:tcPr>
          <w:p w:rsidR="00A7630A" w:rsidRPr="00F948E2" w:rsidRDefault="00A7630A" w:rsidP="009151CF">
            <w:pPr>
              <w:autoSpaceDE w:val="0"/>
              <w:autoSpaceDN w:val="0"/>
              <w:adjustRightInd w:val="0"/>
              <w:spacing w:before="120" w:after="120" w:line="240" w:lineRule="auto"/>
              <w:ind w:left="-41"/>
              <w:jc w:val="both"/>
              <w:rPr>
                <w:sz w:val="20"/>
                <w:szCs w:val="20"/>
              </w:rPr>
            </w:pPr>
            <w:r w:rsidRPr="00F948E2">
              <w:rPr>
                <w:sz w:val="20"/>
                <w:szCs w:val="20"/>
              </w:rPr>
              <w:t>Synonym</w:t>
            </w:r>
            <w:r>
              <w:rPr>
                <w:sz w:val="20"/>
                <w:szCs w:val="20"/>
              </w:rPr>
              <w:t xml:space="preserve"> (to Inner Area)</w:t>
            </w:r>
          </w:p>
        </w:tc>
        <w:tc>
          <w:tcPr>
            <w:tcW w:w="7723" w:type="dxa"/>
          </w:tcPr>
          <w:p w:rsidR="00A7630A" w:rsidRPr="00465BE8" w:rsidRDefault="00A7630A" w:rsidP="009151CF">
            <w:pPr>
              <w:autoSpaceDE w:val="0"/>
              <w:autoSpaceDN w:val="0"/>
              <w:adjustRightInd w:val="0"/>
              <w:spacing w:before="120" w:after="120" w:line="240" w:lineRule="auto"/>
              <w:ind w:left="-41"/>
              <w:jc w:val="both"/>
              <w:rPr>
                <w:sz w:val="20"/>
                <w:szCs w:val="20"/>
              </w:rPr>
            </w:pPr>
            <w:r w:rsidRPr="00465BE8">
              <w:rPr>
                <w:sz w:val="20"/>
                <w:szCs w:val="20"/>
              </w:rPr>
              <w:t>Sharing of main characteristics with Inner Peripheries: depopulation, less productive agricultural activities, less services here than in metropolitan cities – a mistaken English translation from Inner Areas previous definition</w:t>
            </w:r>
          </w:p>
        </w:tc>
        <w:tc>
          <w:tcPr>
            <w:tcW w:w="2168" w:type="dxa"/>
          </w:tcPr>
          <w:p w:rsidR="00A7630A" w:rsidRPr="00465BE8" w:rsidRDefault="00A7630A" w:rsidP="009151CF">
            <w:pPr>
              <w:autoSpaceDE w:val="0"/>
              <w:autoSpaceDN w:val="0"/>
              <w:adjustRightInd w:val="0"/>
              <w:spacing w:before="120" w:after="120" w:line="240" w:lineRule="auto"/>
              <w:ind w:left="-41"/>
              <w:jc w:val="both"/>
              <w:rPr>
                <w:sz w:val="20"/>
                <w:szCs w:val="20"/>
              </w:rPr>
            </w:pPr>
            <w:r w:rsidRPr="00AF739E">
              <w:rPr>
                <w:sz w:val="20"/>
                <w:szCs w:val="20"/>
              </w:rPr>
              <w:t>(</w:t>
            </w:r>
            <w:proofErr w:type="spellStart"/>
            <w:r w:rsidRPr="00AF739E">
              <w:rPr>
                <w:sz w:val="20"/>
                <w:szCs w:val="20"/>
              </w:rPr>
              <w:t>Scrofani</w:t>
            </w:r>
            <w:proofErr w:type="spellEnd"/>
            <w:r w:rsidRPr="00AF739E">
              <w:rPr>
                <w:sz w:val="20"/>
                <w:szCs w:val="20"/>
              </w:rPr>
              <w:t xml:space="preserve"> &amp; </w:t>
            </w:r>
            <w:proofErr w:type="spellStart"/>
            <w:r w:rsidRPr="00AF739E">
              <w:rPr>
                <w:sz w:val="20"/>
                <w:szCs w:val="20"/>
              </w:rPr>
              <w:t>Novembre</w:t>
            </w:r>
            <w:proofErr w:type="spellEnd"/>
            <w:r w:rsidRPr="00AF739E">
              <w:rPr>
                <w:sz w:val="20"/>
                <w:szCs w:val="20"/>
              </w:rPr>
              <w:t>, 2015)</w:t>
            </w:r>
          </w:p>
        </w:tc>
      </w:tr>
      <w:tr w:rsidR="00A7630A" w:rsidRPr="006619DF" w:rsidTr="009151CF">
        <w:tc>
          <w:tcPr>
            <w:tcW w:w="1605" w:type="dxa"/>
          </w:tcPr>
          <w:p w:rsidR="00A7630A" w:rsidRPr="005F49D7" w:rsidRDefault="00A7630A" w:rsidP="009151CF">
            <w:pPr>
              <w:autoSpaceDE w:val="0"/>
              <w:autoSpaceDN w:val="0"/>
              <w:adjustRightInd w:val="0"/>
              <w:spacing w:before="120" w:after="120" w:line="240" w:lineRule="auto"/>
              <w:ind w:left="-41"/>
              <w:jc w:val="both"/>
              <w:rPr>
                <w:sz w:val="20"/>
                <w:szCs w:val="20"/>
              </w:rPr>
            </w:pPr>
            <w:r w:rsidRPr="005F49D7">
              <w:rPr>
                <w:sz w:val="20"/>
                <w:szCs w:val="20"/>
              </w:rPr>
              <w:t>Fragile Rural Areas</w:t>
            </w:r>
          </w:p>
        </w:tc>
        <w:tc>
          <w:tcPr>
            <w:tcW w:w="1932" w:type="dxa"/>
          </w:tcPr>
          <w:p w:rsidR="00A7630A" w:rsidRPr="005F49D7" w:rsidRDefault="00A7630A" w:rsidP="009151CF">
            <w:pPr>
              <w:autoSpaceDE w:val="0"/>
              <w:autoSpaceDN w:val="0"/>
              <w:adjustRightInd w:val="0"/>
              <w:spacing w:before="120" w:after="120" w:line="240" w:lineRule="auto"/>
              <w:ind w:left="-41"/>
              <w:jc w:val="both"/>
              <w:rPr>
                <w:sz w:val="20"/>
                <w:szCs w:val="20"/>
              </w:rPr>
            </w:pPr>
            <w:r w:rsidRPr="005F49D7">
              <w:rPr>
                <w:sz w:val="20"/>
                <w:szCs w:val="20"/>
              </w:rPr>
              <w:t>Similar term</w:t>
            </w:r>
          </w:p>
        </w:tc>
        <w:tc>
          <w:tcPr>
            <w:tcW w:w="7723" w:type="dxa"/>
          </w:tcPr>
          <w:p w:rsidR="00A7630A" w:rsidRPr="005F49D7" w:rsidRDefault="00A7630A" w:rsidP="009151CF">
            <w:pPr>
              <w:autoSpaceDE w:val="0"/>
              <w:autoSpaceDN w:val="0"/>
              <w:adjustRightInd w:val="0"/>
              <w:spacing w:before="120" w:after="120" w:line="240" w:lineRule="auto"/>
              <w:ind w:left="-41"/>
              <w:jc w:val="both"/>
              <w:rPr>
                <w:sz w:val="20"/>
                <w:szCs w:val="20"/>
              </w:rPr>
            </w:pPr>
            <w:r w:rsidRPr="005F49D7">
              <w:rPr>
                <w:sz w:val="20"/>
                <w:szCs w:val="20"/>
              </w:rPr>
              <w:t>By a territorial approach, fragile rural areas have three following main characteristics: lack of coordination of actors, low level of valorisation of resources and objective disabilities (e.g. slope, poor soil, relief). Furthermore, these areas have to deal with disparities in welfare state (services – principle of equity) and welfare community (services calibrated to specific advantages and disadvantages)</w:t>
            </w:r>
          </w:p>
        </w:tc>
        <w:tc>
          <w:tcPr>
            <w:tcW w:w="2168" w:type="dxa"/>
          </w:tcPr>
          <w:p w:rsidR="00A7630A" w:rsidRPr="005F49D7" w:rsidRDefault="00A7630A" w:rsidP="009151CF">
            <w:pPr>
              <w:autoSpaceDE w:val="0"/>
              <w:autoSpaceDN w:val="0"/>
              <w:adjustRightInd w:val="0"/>
              <w:spacing w:before="120" w:after="120" w:line="240" w:lineRule="auto"/>
              <w:ind w:left="-41"/>
              <w:jc w:val="both"/>
              <w:rPr>
                <w:sz w:val="20"/>
                <w:szCs w:val="20"/>
              </w:rPr>
            </w:pPr>
            <w:r w:rsidRPr="00AF739E">
              <w:rPr>
                <w:sz w:val="20"/>
                <w:szCs w:val="20"/>
              </w:rPr>
              <w:t>(</w:t>
            </w:r>
            <w:proofErr w:type="spellStart"/>
            <w:r w:rsidRPr="00AF739E">
              <w:rPr>
                <w:sz w:val="20"/>
                <w:szCs w:val="20"/>
              </w:rPr>
              <w:t>Duquenne</w:t>
            </w:r>
            <w:proofErr w:type="spellEnd"/>
            <w:r w:rsidRPr="00AF739E">
              <w:rPr>
                <w:sz w:val="20"/>
                <w:szCs w:val="20"/>
              </w:rPr>
              <w:t xml:space="preserve"> &amp; </w:t>
            </w:r>
            <w:proofErr w:type="spellStart"/>
            <w:r w:rsidRPr="00AF739E">
              <w:rPr>
                <w:sz w:val="20"/>
                <w:szCs w:val="20"/>
              </w:rPr>
              <w:t>Hadjou</w:t>
            </w:r>
            <w:proofErr w:type="spellEnd"/>
            <w:r w:rsidRPr="00AF739E">
              <w:rPr>
                <w:sz w:val="20"/>
                <w:szCs w:val="20"/>
              </w:rPr>
              <w:t xml:space="preserve"> 2010, p. 14; </w:t>
            </w:r>
            <w:proofErr w:type="spellStart"/>
            <w:r w:rsidRPr="00AF739E">
              <w:rPr>
                <w:sz w:val="20"/>
                <w:szCs w:val="20"/>
              </w:rPr>
              <w:t>Osti</w:t>
            </w:r>
            <w:proofErr w:type="spellEnd"/>
            <w:r w:rsidRPr="00AF739E">
              <w:rPr>
                <w:sz w:val="20"/>
                <w:szCs w:val="20"/>
              </w:rPr>
              <w:t xml:space="preserve"> 2016)</w:t>
            </w:r>
          </w:p>
        </w:tc>
      </w:tr>
    </w:tbl>
    <w:p w:rsidR="00A7630A" w:rsidRPr="00A06986" w:rsidRDefault="00A7630A" w:rsidP="00A7630A">
      <w:pPr>
        <w:widowControl w:val="0"/>
        <w:autoSpaceDE w:val="0"/>
        <w:autoSpaceDN w:val="0"/>
        <w:adjustRightInd w:val="0"/>
        <w:spacing w:line="240" w:lineRule="auto"/>
        <w:jc w:val="center"/>
        <w:rPr>
          <w:sz w:val="20"/>
          <w:szCs w:val="20"/>
        </w:rPr>
      </w:pPr>
      <w:r w:rsidRPr="00A06986">
        <w:rPr>
          <w:sz w:val="20"/>
          <w:szCs w:val="20"/>
        </w:rPr>
        <w:t>Source: authors’ elaboration.</w:t>
      </w:r>
    </w:p>
    <w:p w:rsidR="0090630A" w:rsidRDefault="0090630A"/>
    <w:sectPr w:rsidR="0090630A" w:rsidSect="00436407">
      <w:pgSz w:w="16840" w:h="11901" w:orient="landscape" w:code="9"/>
      <w:pgMar w:top="1701" w:right="1701" w:bottom="1701" w:left="1701" w:header="709" w:footer="709"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61B5" w:rsidRDefault="00B861B5" w:rsidP="00BF25B5">
      <w:pPr>
        <w:spacing w:line="240" w:lineRule="auto"/>
      </w:pPr>
      <w:r>
        <w:separator/>
      </w:r>
    </w:p>
  </w:endnote>
  <w:endnote w:type="continuationSeparator" w:id="0">
    <w:p w:rsidR="00B861B5" w:rsidRDefault="00B861B5" w:rsidP="00BF25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61B5" w:rsidRDefault="00B861B5" w:rsidP="00BF25B5">
      <w:pPr>
        <w:spacing w:line="240" w:lineRule="auto"/>
      </w:pPr>
      <w:r>
        <w:separator/>
      </w:r>
    </w:p>
  </w:footnote>
  <w:footnote w:type="continuationSeparator" w:id="0">
    <w:p w:rsidR="00B861B5" w:rsidRDefault="00B861B5" w:rsidP="00BF25B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30A"/>
    <w:rsid w:val="0090630A"/>
    <w:rsid w:val="00A7630A"/>
    <w:rsid w:val="00B861B5"/>
    <w:rsid w:val="00BF25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7630A"/>
    <w:pPr>
      <w:spacing w:after="0" w:line="480" w:lineRule="auto"/>
    </w:pPr>
    <w:rPr>
      <w:rFonts w:ascii="Times New Roman" w:eastAsia="Times New Roman" w:hAnsi="Times New Roman" w:cs="Times New Roman"/>
      <w:sz w:val="24"/>
      <w:szCs w:val="24"/>
      <w:lang w:val="en-GB" w:eastAsia="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abletitle">
    <w:name w:val="Table title"/>
    <w:basedOn w:val="Normale"/>
    <w:next w:val="Normale"/>
    <w:qFormat/>
    <w:rsid w:val="00A7630A"/>
    <w:pPr>
      <w:spacing w:before="240" w:line="360" w:lineRule="auto"/>
    </w:pPr>
  </w:style>
  <w:style w:type="table" w:styleId="Grigliatabella">
    <w:name w:val="Table Grid"/>
    <w:basedOn w:val="Tabellanormale"/>
    <w:uiPriority w:val="59"/>
    <w:rsid w:val="00A763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origa">
    <w:name w:val="line number"/>
    <w:basedOn w:val="Carpredefinitoparagrafo"/>
    <w:uiPriority w:val="99"/>
    <w:semiHidden/>
    <w:unhideWhenUsed/>
    <w:rsid w:val="00A7630A"/>
  </w:style>
  <w:style w:type="paragraph" w:styleId="Intestazione">
    <w:name w:val="header"/>
    <w:basedOn w:val="Normale"/>
    <w:link w:val="IntestazioneCarattere"/>
    <w:uiPriority w:val="99"/>
    <w:unhideWhenUsed/>
    <w:rsid w:val="00BF25B5"/>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BF25B5"/>
    <w:rPr>
      <w:rFonts w:ascii="Times New Roman" w:eastAsia="Times New Roman" w:hAnsi="Times New Roman" w:cs="Times New Roman"/>
      <w:sz w:val="24"/>
      <w:szCs w:val="24"/>
      <w:lang w:val="en-GB" w:eastAsia="en-GB"/>
    </w:rPr>
  </w:style>
  <w:style w:type="paragraph" w:styleId="Pidipagina">
    <w:name w:val="footer"/>
    <w:basedOn w:val="Normale"/>
    <w:link w:val="PidipaginaCarattere"/>
    <w:uiPriority w:val="99"/>
    <w:unhideWhenUsed/>
    <w:rsid w:val="00BF25B5"/>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BF25B5"/>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535</Words>
  <Characters>3053</Characters>
  <Application>Microsoft Office Word</Application>
  <DocSecurity>0</DocSecurity>
  <Lines>25</Lines>
  <Paragraphs>7</Paragraphs>
  <ScaleCrop>false</ScaleCrop>
  <Company/>
  <LinksUpToDate>false</LinksUpToDate>
  <CharactersWithSpaces>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2020-04-29T10:01:00Z</dcterms:created>
  <dcterms:modified xsi:type="dcterms:W3CDTF">2020-04-29T10:01:00Z</dcterms:modified>
</cp:coreProperties>
</file>