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5F0BAF" w14:textId="77777777" w:rsidR="0047187D" w:rsidRPr="001C6806" w:rsidRDefault="00541DEB" w:rsidP="004D2E97">
      <w:pPr>
        <w:pStyle w:val="TtuloEspaol"/>
        <w:rPr>
          <w:lang w:val="es-ES"/>
        </w:rPr>
      </w:pPr>
      <w:r>
        <w:rPr>
          <w:lang w:val="es-ES" w:eastAsia="es-ES"/>
        </w:rPr>
        <w:drawing>
          <wp:anchor distT="0" distB="0" distL="114300" distR="114300" simplePos="0" relativeHeight="251664896" behindDoc="0" locked="0" layoutInCell="1" allowOverlap="1" wp14:anchorId="4FDEEFA0" wp14:editId="369BBA39">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3902" t="15804" r="32514" b="4897"/>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753D" w:rsidRPr="0054753D">
        <w:t xml:space="preserve"> </w:t>
      </w:r>
      <w:r w:rsidR="0054753D" w:rsidRPr="0054753D">
        <w:rPr>
          <w:lang w:val="es-ES" w:eastAsia="es-ES"/>
        </w:rPr>
        <w:t xml:space="preserve">La dimensión </w:t>
      </w:r>
      <w:r w:rsidR="0054753D" w:rsidRPr="001C6806">
        <w:rPr>
          <w:lang w:val="es-ES" w:eastAsia="es-ES"/>
        </w:rPr>
        <w:t>epistémica de la competencia científica. Ejes para el diseño de actividades de aula</w:t>
      </w:r>
    </w:p>
    <w:p w14:paraId="2B503E79" w14:textId="77777777" w:rsidR="00CB15E9" w:rsidRPr="001C6806" w:rsidRDefault="0054753D" w:rsidP="00B72739">
      <w:pPr>
        <w:pStyle w:val="Titulo-Ingls"/>
        <w:rPr>
          <w:lang w:val="es-ES"/>
        </w:rPr>
      </w:pPr>
      <w:r w:rsidRPr="001C6806">
        <w:rPr>
          <w:lang w:val="es-ES"/>
        </w:rPr>
        <w:t>Epistemic dimension of scientific competences. Axis for designing clasroom activities</w:t>
      </w:r>
    </w:p>
    <w:p w14:paraId="40797236" w14:textId="77777777" w:rsidR="00C91866" w:rsidRPr="001C6806" w:rsidRDefault="00C91866" w:rsidP="00375629">
      <w:pPr>
        <w:pStyle w:val="DOI"/>
        <w:rPr>
          <w:b/>
          <w:shd w:val="clear" w:color="auto" w:fill="FFFFFF"/>
          <w:lang w:val="es-ES"/>
        </w:rPr>
      </w:pPr>
      <w:r w:rsidRPr="001C6806">
        <w:rPr>
          <w:highlight w:val="lightGray"/>
          <w:lang w:val="es-ES"/>
        </w:rPr>
        <w:t>DOI:</w:t>
      </w:r>
      <w:r w:rsidR="008E14ED" w:rsidRPr="001C6806">
        <w:rPr>
          <w:highlight w:val="lightGray"/>
          <w:lang w:val="es-ES"/>
        </w:rPr>
        <w:t xml:space="preserve"> </w:t>
      </w:r>
      <w:r w:rsidR="008E14ED" w:rsidRPr="001C6806">
        <w:rPr>
          <w:highlight w:val="lightGray"/>
          <w:shd w:val="clear" w:color="auto" w:fill="FFFFFF"/>
          <w:lang w:val="es-ES"/>
        </w:rPr>
        <w:t>10.7203/DCES.XX.XXXXX</w:t>
      </w:r>
    </w:p>
    <w:p w14:paraId="1C3767B1" w14:textId="77777777" w:rsidR="00F356DD" w:rsidRDefault="00F356DD" w:rsidP="002246F5">
      <w:pPr>
        <w:pStyle w:val="Autores"/>
        <w:rPr>
          <w:lang w:val="es-ES"/>
        </w:rPr>
      </w:pPr>
    </w:p>
    <w:p w14:paraId="640D08C9" w14:textId="77777777" w:rsidR="002246F5" w:rsidRPr="001C6806" w:rsidRDefault="002246F5" w:rsidP="002246F5">
      <w:pPr>
        <w:pStyle w:val="Autores"/>
        <w:rPr>
          <w:lang w:val="es-ES"/>
        </w:rPr>
      </w:pPr>
      <w:r w:rsidRPr="001C6806">
        <w:rPr>
          <w:lang w:val="es-ES"/>
        </w:rPr>
        <w:t xml:space="preserve">Jordi Domènech Casal </w:t>
      </w:r>
    </w:p>
    <w:p w14:paraId="6316FA68" w14:textId="750B8607" w:rsidR="002246F5" w:rsidRPr="001C6806" w:rsidRDefault="002246F5" w:rsidP="002246F5">
      <w:pPr>
        <w:pStyle w:val="CentrodeInvestigacin"/>
        <w:rPr>
          <w:i w:val="0"/>
          <w:lang w:val="es-ES"/>
        </w:rPr>
      </w:pPr>
      <w:r w:rsidRPr="001C6806">
        <w:rPr>
          <w:lang w:val="es-ES"/>
        </w:rPr>
        <w:t xml:space="preserve">Departament de Didàctica de la Matemàtica i les Ciències Experimentals, Universitat Autònoma de Barcelona. </w:t>
      </w:r>
      <w:r w:rsidR="00B91246" w:rsidRPr="00B91246">
        <w:rPr>
          <w:i w:val="0"/>
          <w:lang w:val="es-ES"/>
        </w:rPr>
        <w:t>jdomen44@xtec.cat</w:t>
      </w:r>
    </w:p>
    <w:p w14:paraId="03915D7F" w14:textId="77777777" w:rsidR="002246F5" w:rsidRPr="001C6806" w:rsidRDefault="002246F5" w:rsidP="002246F5">
      <w:pPr>
        <w:pStyle w:val="Orcid"/>
        <w:rPr>
          <w:lang w:val="es-ES"/>
        </w:rPr>
      </w:pPr>
      <w:r w:rsidRPr="001C6806">
        <w:rPr>
          <w:lang w:val="es-ES"/>
        </w:rPr>
        <w:t>ORCID: https://orcid.org/0000-0002-7324-0000</w:t>
      </w:r>
    </w:p>
    <w:p w14:paraId="7ABC9252" w14:textId="77777777" w:rsidR="002246F5" w:rsidRPr="001C6806" w:rsidRDefault="002246F5" w:rsidP="002246F5">
      <w:pPr>
        <w:pStyle w:val="Indicador2"/>
        <w:rPr>
          <w:b/>
          <w:lang w:val="es-ES"/>
        </w:rPr>
      </w:pPr>
      <w:r w:rsidRPr="001C6806">
        <w:rPr>
          <w:lang w:val="es-ES"/>
        </w:rPr>
        <w:t xml:space="preserve"> </w:t>
      </w:r>
    </w:p>
    <w:p w14:paraId="2F46550B" w14:textId="77777777" w:rsidR="002246F5" w:rsidRPr="001C6806" w:rsidRDefault="002246F5" w:rsidP="002246F5">
      <w:pPr>
        <w:pStyle w:val="Autores"/>
        <w:rPr>
          <w:lang w:val="es-ES"/>
        </w:rPr>
      </w:pPr>
      <w:r w:rsidRPr="001C6806">
        <w:rPr>
          <w:lang w:val="es-ES"/>
        </w:rPr>
        <w:t>Anna Marbà Tallada</w:t>
      </w:r>
    </w:p>
    <w:p w14:paraId="38394736" w14:textId="18BDE6F0" w:rsidR="002246F5" w:rsidRPr="001C6806" w:rsidRDefault="00B91246" w:rsidP="002246F5">
      <w:pPr>
        <w:pStyle w:val="CentrodeInvestigacin"/>
        <w:rPr>
          <w:i w:val="0"/>
          <w:lang w:val="es-ES"/>
        </w:rPr>
      </w:pPr>
      <w:r w:rsidRPr="00B91246">
        <w:rPr>
          <w:lang w:val="es-ES"/>
        </w:rPr>
        <w:t>Departament de Didàctica de la Matemàtica i les Ciències Experimentals, Universitat Autònoma de Barcelona.</w:t>
      </w:r>
      <w:r w:rsidR="002246F5" w:rsidRPr="001C6806">
        <w:rPr>
          <w:lang w:val="es-ES"/>
        </w:rPr>
        <w:t xml:space="preserve"> </w:t>
      </w:r>
      <w:r>
        <w:rPr>
          <w:i w:val="0"/>
          <w:lang w:val="es-ES"/>
        </w:rPr>
        <w:t>anna.marba@uab.cat</w:t>
      </w:r>
    </w:p>
    <w:p w14:paraId="086DAFA6" w14:textId="77777777" w:rsidR="002246F5" w:rsidRPr="001C6806" w:rsidRDefault="002246F5" w:rsidP="002246F5">
      <w:pPr>
        <w:pStyle w:val="Orcid"/>
        <w:rPr>
          <w:lang w:val="es-ES"/>
        </w:rPr>
      </w:pPr>
      <w:r w:rsidRPr="001C6806">
        <w:rPr>
          <w:lang w:val="es-ES"/>
        </w:rPr>
        <w:t>ORCID: https://orcid.org/0000-0002-8780-2422</w:t>
      </w:r>
    </w:p>
    <w:p w14:paraId="72F81C4A" w14:textId="77777777" w:rsidR="0054753D" w:rsidRPr="001C6806" w:rsidRDefault="0054753D" w:rsidP="0054753D">
      <w:pPr>
        <w:pStyle w:val="TtulosResumenAbstrac"/>
        <w:rPr>
          <w:lang w:val="es-ES"/>
        </w:rPr>
      </w:pPr>
    </w:p>
    <w:p w14:paraId="33622A6F" w14:textId="77777777" w:rsidR="0054753D" w:rsidRPr="001C6806" w:rsidRDefault="0054753D" w:rsidP="0054753D">
      <w:pPr>
        <w:pStyle w:val="TtulosResumenAbstrac"/>
        <w:rPr>
          <w:lang w:val="es-ES"/>
        </w:rPr>
      </w:pPr>
    </w:p>
    <w:p w14:paraId="5802BF5C" w14:textId="77777777" w:rsidR="0054753D" w:rsidRPr="001C6806" w:rsidRDefault="0054753D" w:rsidP="0054753D">
      <w:pPr>
        <w:pStyle w:val="TtulosResumenAbstrac"/>
        <w:rPr>
          <w:lang w:val="es-ES"/>
        </w:rPr>
      </w:pPr>
    </w:p>
    <w:p w14:paraId="7C7420DB" w14:textId="15DC274A" w:rsidR="00393782" w:rsidRPr="001C6806" w:rsidRDefault="00931CE8" w:rsidP="00B91246">
      <w:pPr>
        <w:pStyle w:val="TtulosResumenAbstrac"/>
        <w:jc w:val="both"/>
        <w:rPr>
          <w:b w:val="0"/>
          <w:smallCaps w:val="0"/>
          <w:color w:val="000000" w:themeColor="text1"/>
          <w:lang w:val="es-ES"/>
        </w:rPr>
      </w:pPr>
      <w:r w:rsidRPr="001C6806">
        <w:rPr>
          <w:lang w:val="es-ES"/>
        </w:rPr>
        <w:t>Resumen</w:t>
      </w:r>
      <w:r w:rsidR="004C6342" w:rsidRPr="001C6806">
        <w:rPr>
          <w:lang w:val="es-ES"/>
        </w:rPr>
        <w:t xml:space="preserve">: </w:t>
      </w:r>
      <w:r w:rsidR="0054753D" w:rsidRPr="001C6806">
        <w:rPr>
          <w:b w:val="0"/>
          <w:smallCaps w:val="0"/>
          <w:color w:val="000000" w:themeColor="text1"/>
          <w:lang w:val="es-ES"/>
        </w:rPr>
        <w:t>La competencia científica incluye una dimensión epistémica</w:t>
      </w:r>
      <w:r w:rsidR="00B91246">
        <w:rPr>
          <w:b w:val="0"/>
          <w:smallCaps w:val="0"/>
          <w:color w:val="000000" w:themeColor="text1"/>
          <w:lang w:val="es-ES"/>
        </w:rPr>
        <w:t>,</w:t>
      </w:r>
      <w:r w:rsidR="00043370">
        <w:rPr>
          <w:b w:val="0"/>
          <w:smallCaps w:val="0"/>
          <w:color w:val="000000" w:themeColor="text1"/>
          <w:lang w:val="es-ES"/>
        </w:rPr>
        <w:t xml:space="preserve"> </w:t>
      </w:r>
      <w:r w:rsidR="0054753D" w:rsidRPr="001C6806">
        <w:rPr>
          <w:b w:val="0"/>
          <w:smallCaps w:val="0"/>
          <w:color w:val="000000" w:themeColor="text1"/>
          <w:lang w:val="es-ES"/>
        </w:rPr>
        <w:t xml:space="preserve">relativa </w:t>
      </w:r>
      <w:r w:rsidR="00B91246">
        <w:rPr>
          <w:b w:val="0"/>
          <w:smallCaps w:val="0"/>
          <w:color w:val="000000" w:themeColor="text1"/>
          <w:lang w:val="es-ES"/>
        </w:rPr>
        <w:t xml:space="preserve">a los modos </w:t>
      </w:r>
      <w:r w:rsidR="0054753D" w:rsidRPr="001C6806">
        <w:rPr>
          <w:b w:val="0"/>
          <w:smallCaps w:val="0"/>
          <w:color w:val="000000" w:themeColor="text1"/>
          <w:lang w:val="es-ES"/>
        </w:rPr>
        <w:t xml:space="preserve">que tiene la </w:t>
      </w:r>
      <w:r w:rsidR="007843A3">
        <w:rPr>
          <w:b w:val="0"/>
          <w:smallCaps w:val="0"/>
          <w:color w:val="000000" w:themeColor="text1"/>
          <w:lang w:val="es-ES"/>
        </w:rPr>
        <w:t>ciencia</w:t>
      </w:r>
      <w:r w:rsidR="0054753D" w:rsidRPr="001C6806">
        <w:rPr>
          <w:b w:val="0"/>
          <w:smallCaps w:val="0"/>
          <w:color w:val="000000" w:themeColor="text1"/>
          <w:lang w:val="es-ES"/>
        </w:rPr>
        <w:t xml:space="preserve"> de validar conocimiento. El despliegue de esta dimensión en las actividades de aula es complejo, y requiere el desarrollo de destrezas de argumentación y uso de pruebas, conocimiento de la Naturaleza de la </w:t>
      </w:r>
      <w:r w:rsidR="007843A3">
        <w:rPr>
          <w:b w:val="0"/>
          <w:smallCaps w:val="0"/>
          <w:color w:val="000000" w:themeColor="text1"/>
          <w:lang w:val="es-ES"/>
        </w:rPr>
        <w:t>Ciencia</w:t>
      </w:r>
      <w:r w:rsidR="0054753D" w:rsidRPr="001C6806">
        <w:rPr>
          <w:b w:val="0"/>
          <w:smallCaps w:val="0"/>
          <w:color w:val="000000" w:themeColor="text1"/>
          <w:lang w:val="es-ES"/>
        </w:rPr>
        <w:t xml:space="preserve"> y aspectos de razonamiento crítico relativos la ciudadanía y la cognición epistémica. A partir de marcos teóricos de distintos autores se proponen y ejemplifican ejes de actuación como apoyo para ayudar al profesorado a transformar el diseño de sus actividades de aula para que promuevan el desarrollo de la dimensión epistémica.</w:t>
      </w:r>
    </w:p>
    <w:p w14:paraId="0E1D7C1B" w14:textId="77777777" w:rsidR="0054753D" w:rsidRPr="001C6806" w:rsidRDefault="0054753D" w:rsidP="00B47E0B">
      <w:pPr>
        <w:pStyle w:val="TtulosResumenAbstrac"/>
        <w:rPr>
          <w:lang w:val="es-ES"/>
        </w:rPr>
      </w:pPr>
    </w:p>
    <w:p w14:paraId="1C2EC5BE" w14:textId="77777777" w:rsidR="00393782" w:rsidRPr="001C6806" w:rsidRDefault="00393782" w:rsidP="00B47E0B">
      <w:pPr>
        <w:pStyle w:val="TtulosResumenAbstrac"/>
        <w:rPr>
          <w:lang w:val="es-ES"/>
        </w:rPr>
      </w:pPr>
      <w:r w:rsidRPr="001C6806">
        <w:rPr>
          <w:lang w:val="es-ES"/>
        </w:rPr>
        <w:t xml:space="preserve">Palabras clave: </w:t>
      </w:r>
      <w:r w:rsidR="0054753D" w:rsidRPr="001C6806">
        <w:rPr>
          <w:b w:val="0"/>
          <w:smallCaps w:val="0"/>
          <w:lang w:val="es-ES"/>
        </w:rPr>
        <w:t>Competencia científica, cognición epistémica, dimensión epistémica, diseño didáctico, argumentación</w:t>
      </w:r>
      <w:r w:rsidR="000536B8" w:rsidRPr="001C6806">
        <w:rPr>
          <w:lang w:val="es-ES"/>
        </w:rPr>
        <w:t xml:space="preserve"> </w:t>
      </w:r>
    </w:p>
    <w:p w14:paraId="4964CAC3" w14:textId="77777777" w:rsidR="0054753D" w:rsidRPr="001C6806" w:rsidRDefault="0054753D" w:rsidP="0054753D">
      <w:pPr>
        <w:pStyle w:val="TtulosResumenAbstrac"/>
        <w:rPr>
          <w:lang w:val="es-ES"/>
        </w:rPr>
      </w:pPr>
    </w:p>
    <w:p w14:paraId="3AC37248" w14:textId="71254A56" w:rsidR="0054753D" w:rsidRPr="00B91246" w:rsidRDefault="00393782" w:rsidP="00B91246">
      <w:pPr>
        <w:pStyle w:val="TtulosResumenAbstrac"/>
        <w:jc w:val="both"/>
        <w:rPr>
          <w:b w:val="0"/>
          <w:smallCaps w:val="0"/>
          <w:color w:val="000000" w:themeColor="text1"/>
          <w:lang w:val="en-GB"/>
        </w:rPr>
      </w:pPr>
      <w:r w:rsidRPr="00B91246">
        <w:rPr>
          <w:color w:val="000000" w:themeColor="text1"/>
          <w:lang w:val="en-GB"/>
        </w:rPr>
        <w:t>Abstract</w:t>
      </w:r>
      <w:r w:rsidR="004C6342" w:rsidRPr="00B91246">
        <w:rPr>
          <w:color w:val="000000" w:themeColor="text1"/>
          <w:lang w:val="en-GB"/>
        </w:rPr>
        <w:t xml:space="preserve">: </w:t>
      </w:r>
      <w:r w:rsidR="0054753D" w:rsidRPr="00B91246">
        <w:rPr>
          <w:b w:val="0"/>
          <w:smallCaps w:val="0"/>
          <w:color w:val="000000" w:themeColor="text1"/>
          <w:lang w:val="en-GB"/>
        </w:rPr>
        <w:t xml:space="preserve">Scientific competence includes an epistemic dimension related to the way science validate knowledge. The development of this dimension in classroom activities is complex, and requires the development of skills of argumentation, knowledge </w:t>
      </w:r>
      <w:r w:rsidR="00B91246">
        <w:rPr>
          <w:b w:val="0"/>
          <w:smallCaps w:val="0"/>
          <w:color w:val="000000" w:themeColor="text1"/>
          <w:lang w:val="en-GB"/>
        </w:rPr>
        <w:t xml:space="preserve">of the Nature of Science (NOS) </w:t>
      </w:r>
      <w:r w:rsidR="0054753D" w:rsidRPr="00B91246">
        <w:rPr>
          <w:b w:val="0"/>
          <w:smallCaps w:val="0"/>
          <w:color w:val="000000" w:themeColor="text1"/>
          <w:lang w:val="en-GB"/>
        </w:rPr>
        <w:t>and aspects of a critical reasoning related to citizenship and epistemic cognition. Based on theoretical frameworks by different authors, axes of action are proposed and exemplified as support to help teachers transforming the design of their clas</w:t>
      </w:r>
      <w:r w:rsidR="00DC28E1">
        <w:rPr>
          <w:b w:val="0"/>
          <w:smallCaps w:val="0"/>
          <w:color w:val="000000" w:themeColor="text1"/>
          <w:lang w:val="en-GB"/>
        </w:rPr>
        <w:t xml:space="preserve">sroom activities for promoting </w:t>
      </w:r>
      <w:r w:rsidR="0054753D" w:rsidRPr="00B91246">
        <w:rPr>
          <w:b w:val="0"/>
          <w:smallCaps w:val="0"/>
          <w:color w:val="000000" w:themeColor="text1"/>
          <w:lang w:val="en-GB"/>
        </w:rPr>
        <w:t>the development of the epistemic dimension.</w:t>
      </w:r>
    </w:p>
    <w:p w14:paraId="77040D05" w14:textId="77777777" w:rsidR="0054753D" w:rsidRPr="00B91246" w:rsidRDefault="0054753D" w:rsidP="00B47E0B">
      <w:pPr>
        <w:pStyle w:val="TtulosResumenAbstrac"/>
        <w:rPr>
          <w:lang w:val="en-GB"/>
        </w:rPr>
      </w:pPr>
    </w:p>
    <w:p w14:paraId="717462FD" w14:textId="77777777" w:rsidR="00393782" w:rsidRPr="00B91246" w:rsidRDefault="00207F76" w:rsidP="00B47E0B">
      <w:pPr>
        <w:pStyle w:val="TtulosResumenAbstrac"/>
        <w:rPr>
          <w:lang w:val="en-GB"/>
        </w:rPr>
      </w:pPr>
      <w:r w:rsidRPr="00B91246">
        <w:rPr>
          <w:lang w:val="en-GB"/>
        </w:rPr>
        <w:t>Keyw</w:t>
      </w:r>
      <w:r w:rsidR="00393782" w:rsidRPr="00B91246">
        <w:rPr>
          <w:lang w:val="en-GB"/>
        </w:rPr>
        <w:t xml:space="preserve">ords: </w:t>
      </w:r>
      <w:r w:rsidR="0054753D" w:rsidRPr="00B91246">
        <w:rPr>
          <w:b w:val="0"/>
          <w:smallCaps w:val="0"/>
          <w:lang w:val="en-GB"/>
        </w:rPr>
        <w:t>scientific competence, epistemic cognition, epistemic dimension, didactic design, argumentation</w:t>
      </w:r>
    </w:p>
    <w:p w14:paraId="19066C96" w14:textId="77777777" w:rsidR="0054753D" w:rsidRPr="001C6806" w:rsidRDefault="0054753D" w:rsidP="00B47E0B">
      <w:pPr>
        <w:pStyle w:val="Fechasdeaceptacin"/>
      </w:pPr>
    </w:p>
    <w:p w14:paraId="268086E4" w14:textId="77777777" w:rsidR="00946429" w:rsidRPr="001C6806" w:rsidRDefault="00207F76" w:rsidP="00B47E0B">
      <w:pPr>
        <w:pStyle w:val="Fechasdeaceptacin"/>
      </w:pPr>
      <w:r w:rsidRPr="001C6806">
        <w:t>Fecha de r</w:t>
      </w:r>
      <w:r w:rsidR="00946429" w:rsidRPr="001C6806">
        <w:t xml:space="preserve">ecepción: </w:t>
      </w:r>
      <w:r w:rsidR="001469D4" w:rsidRPr="001C6806">
        <w:rPr>
          <w:highlight w:val="lightGray"/>
        </w:rPr>
        <w:t>xxxxxxxxxxxxx</w:t>
      </w:r>
    </w:p>
    <w:p w14:paraId="2BC3AED9" w14:textId="77777777" w:rsidR="00946429" w:rsidRPr="001C6806" w:rsidRDefault="00207F76" w:rsidP="00B47E0B">
      <w:pPr>
        <w:pStyle w:val="Fechasdeaceptacin"/>
      </w:pPr>
      <w:r w:rsidRPr="001C6806">
        <w:t>Fecha de a</w:t>
      </w:r>
      <w:r w:rsidR="00946429" w:rsidRPr="001C6806">
        <w:t>ceptación:</w:t>
      </w:r>
      <w:r w:rsidR="001469D4" w:rsidRPr="001C6806">
        <w:t xml:space="preserve"> </w:t>
      </w:r>
      <w:r w:rsidR="001469D4" w:rsidRPr="001C6806">
        <w:rPr>
          <w:highlight w:val="lightGray"/>
        </w:rPr>
        <w:t>xxxxxxxxxxxx</w:t>
      </w:r>
    </w:p>
    <w:p w14:paraId="0D178264" w14:textId="77777777" w:rsidR="0054753D" w:rsidRPr="001C6806" w:rsidRDefault="0054753D" w:rsidP="001469D4">
      <w:pPr>
        <w:pStyle w:val="TextoNormal"/>
        <w:rPr>
          <w:lang w:val="es-ES"/>
        </w:rPr>
      </w:pPr>
    </w:p>
    <w:p w14:paraId="59F1FBB6" w14:textId="77777777" w:rsidR="0054753D" w:rsidRPr="001C6806" w:rsidRDefault="0054753D" w:rsidP="001469D4">
      <w:pPr>
        <w:pStyle w:val="TextoNormal"/>
        <w:rPr>
          <w:lang w:val="es-ES"/>
        </w:rPr>
      </w:pPr>
    </w:p>
    <w:p w14:paraId="3352569A" w14:textId="77777777" w:rsidR="00CB15E9" w:rsidRPr="001C6806" w:rsidRDefault="00EA60A4" w:rsidP="001469D4">
      <w:pPr>
        <w:pStyle w:val="TextoNormal"/>
        <w:rPr>
          <w:lang w:val="es-ES"/>
        </w:rPr>
      </w:pPr>
      <w:r w:rsidRPr="001C6806">
        <w:rPr>
          <w:noProof/>
          <w:lang w:val="es-ES" w:eastAsia="es-ES"/>
        </w:rPr>
        <mc:AlternateContent>
          <mc:Choice Requires="wps">
            <w:drawing>
              <wp:anchor distT="0" distB="0" distL="114300" distR="114300" simplePos="0" relativeHeight="251658752" behindDoc="0" locked="0" layoutInCell="1" allowOverlap="1" wp14:anchorId="0F43EDA2" wp14:editId="3C0019EC">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39D0C4C"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I1gEAABsEAAAOAAAAZHJzL2Uyb0RvYy54bWysU02P0zAQvSPxHyzfadIiyhI13UNXywVB&#10;BQt3rzNuLPlLY9Ok/56xkw0VH1oJcXE89rw38944u9vRGnYGjNq7lq9XNWfgpO+0O7X868P9qxvO&#10;YhKuE8Y7aPkFIr/dv3yxG0IDG9970wEyInGxGULL+5RCU1VR9mBFXPkAji6VRysShXiqOhQDsVtT&#10;bep6Ww0eu4BeQox0ejdd8n3hVwpk+qRUhMRMy6m3VFYs62Neq/1ONCcUoddybkP8QxdWaEdFF6o7&#10;kQT7jvo3Kqsl+uhVWklvK6+UllA0kJp1/YuaL70IULSQOTEsNsX/Rys/no/IdNdyGpQTlkZ0oEHJ&#10;5JFh/rCb7NEQYkOpB3fEOYrhiFnwqNAyZXT4RuMvFpAoNhaHL4vDMCYm6XBbv3n7rqZByKe7aqLI&#10;VAFjeg/esrxpudEuixeNOH+IicpS6lNKPjYur9Eb3d1rY0qQnw0cDLKzoIELKcGlbRZA2KtMiiY0&#10;lCcy02eRk6yySxcDU53PoMgiav916ac8zr9VMY6yM0xRTwuwfh4452fo1NUC3jwPXhClsndpAVvt&#10;PP6JII3r2Rg15ZNJV7rz9tF3lzLwckEvsPg4/y35iV/HBf7zn97/AAAA//8DAFBLAwQUAAYACAAA&#10;ACEAoox6N98AAAAKAQAADwAAAGRycy9kb3ducmV2LnhtbEyPMU/DMBCFdyT+g3VIbNShkQJN41So&#10;UAYG1JQubE58TazG5yh22/DvOVhgOenTu3v3XrGaXC/OOAbrScH9LAGB1HhjqVWw/9jcPYIIUZPR&#10;vSdU8IUBVuX1VaFz4y9U4XkXW8EmFHKtoItxyKUMTYdOh5kfkFg7+NHpyDi20oz6wuaul/MkyaTT&#10;lvhDpwdcd9gcdyenAMd9Il31lm7T9/VL9flgN/WrVer2Znpe8nhagog4xb8L+OnA+aHkYLU/kQmi&#10;V7DIeFFBNgfB6iJLmetflmUh/1covwEAAP//AwBQSwECLQAUAAYACAAAACEAtoM4kv4AAADhAQAA&#10;EwAAAAAAAAAAAAAAAAAAAAAAW0NvbnRlbnRfVHlwZXNdLnhtbFBLAQItABQABgAIAAAAIQA4/SH/&#10;1gAAAJQBAAALAAAAAAAAAAAAAAAAAC8BAABfcmVscy8ucmVsc1BLAQItABQABgAIAAAAIQDpNGnI&#10;1gEAABsEAAAOAAAAAAAAAAAAAAAAAC4CAABkcnMvZTJvRG9jLnhtbFBLAQItABQABgAIAAAAIQCi&#10;jHo33wAAAAoBAAAPAAAAAAAAAAAAAAAAADAEAABkcnMvZG93bnJldi54bWxQSwUGAAAAAAQABADz&#10;AAAAPAUAAAAA&#10;" strokecolor="#f79646 [3209]" strokeweight="3pt">
                <w10:wrap anchorx="margin"/>
              </v:line>
            </w:pict>
          </mc:Fallback>
        </mc:AlternateContent>
      </w:r>
    </w:p>
    <w:p w14:paraId="78D1117B" w14:textId="470FF434" w:rsidR="0013331D" w:rsidRPr="001C6806" w:rsidRDefault="0054753D" w:rsidP="00B47E0B">
      <w:pPr>
        <w:pStyle w:val="Agradecimientos"/>
        <w:rPr>
          <w:b/>
          <w:smallCaps/>
          <w:lang w:val="es-ES"/>
        </w:rPr>
      </w:pPr>
      <w:r w:rsidRPr="001C6806">
        <w:rPr>
          <w:lang w:val="es-ES"/>
        </w:rPr>
        <w:t>Es</w:t>
      </w:r>
      <w:r w:rsidR="008A7C65">
        <w:rPr>
          <w:lang w:val="es-ES"/>
        </w:rPr>
        <w:t>te trabajo se</w:t>
      </w:r>
      <w:r w:rsidRPr="001C6806">
        <w:rPr>
          <w:lang w:val="es-ES"/>
        </w:rPr>
        <w:t xml:space="preserve"> </w:t>
      </w:r>
      <w:r w:rsidR="008A7C65" w:rsidRPr="001C6806">
        <w:rPr>
          <w:lang w:val="es-ES"/>
        </w:rPr>
        <w:t>llevad</w:t>
      </w:r>
      <w:r w:rsidR="008A7C65">
        <w:rPr>
          <w:lang w:val="es-ES"/>
        </w:rPr>
        <w:t>o</w:t>
      </w:r>
      <w:r w:rsidR="008A7C65" w:rsidRPr="001C6806">
        <w:rPr>
          <w:lang w:val="es-ES"/>
        </w:rPr>
        <w:t xml:space="preserve"> a cabo </w:t>
      </w:r>
      <w:r w:rsidR="008A7C65">
        <w:rPr>
          <w:lang w:val="es-ES"/>
        </w:rPr>
        <w:t>en el</w:t>
      </w:r>
      <w:r w:rsidR="008A7C65" w:rsidRPr="001C6806">
        <w:rPr>
          <w:lang w:val="es-ES"/>
        </w:rPr>
        <w:t xml:space="preserve"> grupo de inv</w:t>
      </w:r>
      <w:r w:rsidR="00D427E2">
        <w:rPr>
          <w:lang w:val="es-ES"/>
        </w:rPr>
        <w:t>estigación ACELEC (2017SGR1399)</w:t>
      </w:r>
      <w:r w:rsidR="008A7C65">
        <w:rPr>
          <w:lang w:val="es-ES"/>
        </w:rPr>
        <w:t>,</w:t>
      </w:r>
      <w:r w:rsidR="00043370">
        <w:rPr>
          <w:lang w:val="es-ES"/>
        </w:rPr>
        <w:t xml:space="preserve"> </w:t>
      </w:r>
      <w:r w:rsidRPr="001C6806">
        <w:rPr>
          <w:lang w:val="es-ES"/>
        </w:rPr>
        <w:t>financiad</w:t>
      </w:r>
      <w:r w:rsidR="008A7C65">
        <w:rPr>
          <w:lang w:val="es-ES"/>
        </w:rPr>
        <w:t>o</w:t>
      </w:r>
      <w:r w:rsidRPr="001C6806">
        <w:rPr>
          <w:lang w:val="es-ES"/>
        </w:rPr>
        <w:t xml:space="preserve"> por el Ministerio de </w:t>
      </w:r>
      <w:r w:rsidR="007843A3">
        <w:rPr>
          <w:lang w:val="es-ES"/>
        </w:rPr>
        <w:t>Ciencia</w:t>
      </w:r>
      <w:r w:rsidRPr="001C6806">
        <w:rPr>
          <w:lang w:val="es-ES"/>
        </w:rPr>
        <w:t xml:space="preserve">, Innovación y Universidades (PGC2018-096581-B-C21) y </w:t>
      </w:r>
      <w:r w:rsidR="0013331D" w:rsidRPr="001C6806">
        <w:rPr>
          <w:lang w:val="es-ES"/>
        </w:rPr>
        <w:br w:type="page"/>
      </w:r>
    </w:p>
    <w:p w14:paraId="07989D17" w14:textId="77777777" w:rsidR="008E14ED" w:rsidRPr="001C6806" w:rsidRDefault="00A063C2" w:rsidP="00C2726E">
      <w:pPr>
        <w:pStyle w:val="Encabezado1"/>
        <w:numPr>
          <w:ilvl w:val="0"/>
          <w:numId w:val="7"/>
        </w:numPr>
        <w:spacing w:before="0" w:after="0"/>
        <w:rPr>
          <w:lang w:val="es-ES"/>
        </w:rPr>
      </w:pPr>
      <w:r w:rsidRPr="001C6806">
        <w:rPr>
          <w:lang w:val="es-ES"/>
        </w:rPr>
        <w:lastRenderedPageBreak/>
        <w:t>Introducción</w:t>
      </w:r>
    </w:p>
    <w:p w14:paraId="04CF2325" w14:textId="77777777" w:rsidR="00A063C2" w:rsidRPr="001C6806" w:rsidRDefault="00A063C2" w:rsidP="00A063C2">
      <w:pPr>
        <w:pStyle w:val="TextoNormal"/>
        <w:rPr>
          <w:lang w:val="es-ES"/>
        </w:rPr>
      </w:pPr>
    </w:p>
    <w:p w14:paraId="1984073A" w14:textId="254F728A" w:rsidR="00A063C2" w:rsidRPr="001C6806" w:rsidRDefault="00A063C2" w:rsidP="007843A3">
      <w:pPr>
        <w:pStyle w:val="TextoNormal"/>
        <w:jc w:val="both"/>
        <w:rPr>
          <w:lang w:val="es-ES"/>
        </w:rPr>
      </w:pPr>
      <w:r w:rsidRPr="001C6806">
        <w:rPr>
          <w:lang w:val="es-ES"/>
        </w:rPr>
        <w:t xml:space="preserve">Uno de los retos más reivindicados para la enseñanza competencial de las </w:t>
      </w:r>
      <w:r w:rsidR="00F356DD">
        <w:rPr>
          <w:lang w:val="es-ES"/>
        </w:rPr>
        <w:t>c</w:t>
      </w:r>
      <w:r w:rsidR="007843A3">
        <w:rPr>
          <w:lang w:val="es-ES"/>
        </w:rPr>
        <w:t>iencia</w:t>
      </w:r>
      <w:r w:rsidRPr="001C6806">
        <w:rPr>
          <w:lang w:val="es-ES"/>
        </w:rPr>
        <w:t xml:space="preserve">s es el de capacitar a la ciudadanía para interpelar el mundo desde la </w:t>
      </w:r>
      <w:r w:rsidR="007843A3">
        <w:rPr>
          <w:lang w:val="es-ES"/>
        </w:rPr>
        <w:t>Ciencia</w:t>
      </w:r>
      <w:r w:rsidRPr="001C6806">
        <w:rPr>
          <w:lang w:val="es-ES"/>
        </w:rPr>
        <w:t xml:space="preserve"> y la Tecnología. Aikenhead ya en 1994 reivindicaba espacios de participación donde la ciudadanía aspirara cada vez a decidir más, sobre más ámbitos, y de forma más directa</w:t>
      </w:r>
      <w:r w:rsidR="008A7C65">
        <w:rPr>
          <w:lang w:val="es-ES"/>
        </w:rPr>
        <w:t xml:space="preserve"> (qué vacuna ponerse contra la COVID, que tipo de compañía eléctrica preferimos, etc.). </w:t>
      </w:r>
      <w:r w:rsidRPr="001C6806">
        <w:rPr>
          <w:lang w:val="es-ES"/>
        </w:rPr>
        <w:t xml:space="preserve">Esta ampliación del espacio político de la ciudadanía </w:t>
      </w:r>
      <w:r w:rsidR="008A7C65">
        <w:rPr>
          <w:lang w:val="es-ES"/>
        </w:rPr>
        <w:t xml:space="preserve">ha coincidido </w:t>
      </w:r>
      <w:r w:rsidRPr="001C6806">
        <w:rPr>
          <w:lang w:val="es-ES"/>
        </w:rPr>
        <w:t xml:space="preserve">un momento de </w:t>
      </w:r>
      <w:r w:rsidR="008A7C65" w:rsidRPr="001C6806">
        <w:rPr>
          <w:lang w:val="es-ES"/>
        </w:rPr>
        <w:t>e</w:t>
      </w:r>
      <w:r w:rsidR="008A7C65">
        <w:rPr>
          <w:lang w:val="es-ES"/>
        </w:rPr>
        <w:t xml:space="preserve">fervescencia </w:t>
      </w:r>
      <w:r w:rsidRPr="001C6806">
        <w:rPr>
          <w:lang w:val="es-ES"/>
        </w:rPr>
        <w:t>de las pseudo</w:t>
      </w:r>
      <w:r w:rsidR="007843A3">
        <w:rPr>
          <w:lang w:val="es-ES"/>
        </w:rPr>
        <w:t>ciencia</w:t>
      </w:r>
      <w:r w:rsidRPr="001C6806">
        <w:rPr>
          <w:lang w:val="es-ES"/>
        </w:rPr>
        <w:t>s</w:t>
      </w:r>
      <w:r w:rsidR="008A7C65">
        <w:rPr>
          <w:lang w:val="es-ES"/>
        </w:rPr>
        <w:t xml:space="preserve"> (defensores del terraplanismos, rei</w:t>
      </w:r>
      <w:r w:rsidR="00457766">
        <w:rPr>
          <w:lang w:val="es-ES"/>
        </w:rPr>
        <w:t>ki</w:t>
      </w:r>
      <w:r w:rsidR="008A7C65">
        <w:rPr>
          <w:lang w:val="es-ES"/>
        </w:rPr>
        <w:t>, etc,)</w:t>
      </w:r>
      <w:r w:rsidRPr="001C6806">
        <w:rPr>
          <w:lang w:val="es-ES"/>
        </w:rPr>
        <w:t>. Estudios recientes describen que la aceptación de pseudo</w:t>
      </w:r>
      <w:r w:rsidR="007843A3">
        <w:rPr>
          <w:lang w:val="es-ES"/>
        </w:rPr>
        <w:t>ciencia</w:t>
      </w:r>
      <w:r w:rsidRPr="001C6806">
        <w:rPr>
          <w:lang w:val="es-ES"/>
        </w:rPr>
        <w:t>s como la acupuntura y la homeopatía en el público en general es muy alta (INE, 2013; MINECO, 2016) y que están muy extendidas entre profesorado y alumnado (Preece y Baxter, 2000; García-Molina, 2015, Hobson, 2001, Uskola, 2016</w:t>
      </w:r>
      <w:r w:rsidR="00D427E2">
        <w:rPr>
          <w:lang w:val="es-ES"/>
        </w:rPr>
        <w:t>; Quevedo-Ortiz;</w:t>
      </w:r>
      <w:r w:rsidRPr="001C6806">
        <w:rPr>
          <w:lang w:val="es-ES"/>
        </w:rPr>
        <w:t xml:space="preserve"> González-García y Fernández-Ferrer, 2019). Las recientes campañas de organizaciones anti-vacunas, </w:t>
      </w:r>
      <w:r w:rsidR="008A7C65">
        <w:rPr>
          <w:lang w:val="es-ES"/>
        </w:rPr>
        <w:t xml:space="preserve">asociaciones </w:t>
      </w:r>
      <w:r w:rsidRPr="001C6806">
        <w:rPr>
          <w:lang w:val="es-ES"/>
        </w:rPr>
        <w:t xml:space="preserve">promotoras de la financiación pública para la homeopatía o el movimiento anti-mascarillas en la pandemia Covid-19 son solo algunos ejemplos de la preocupante combinación de una ciudadanía científicamente no competente </w:t>
      </w:r>
      <w:r w:rsidR="008A7C65">
        <w:rPr>
          <w:lang w:val="es-ES"/>
        </w:rPr>
        <w:t>pero</w:t>
      </w:r>
      <w:r w:rsidRPr="001C6806">
        <w:rPr>
          <w:lang w:val="es-ES"/>
        </w:rPr>
        <w:t xml:space="preserve"> emancipada. </w:t>
      </w:r>
    </w:p>
    <w:p w14:paraId="79160C2A" w14:textId="466EE643" w:rsidR="00A063C2" w:rsidRPr="001C6806" w:rsidRDefault="008A7C65" w:rsidP="007843A3">
      <w:pPr>
        <w:pStyle w:val="TextoNormal"/>
        <w:jc w:val="both"/>
        <w:rPr>
          <w:lang w:val="es-ES"/>
        </w:rPr>
      </w:pPr>
      <w:r>
        <w:rPr>
          <w:lang w:val="es-ES"/>
        </w:rPr>
        <w:t>La escuela, con la inclusión de la enseñanza competencial, promueve que el alumnado desarrolle la habilidad necesaria para poder dar respuesta, usando el conocimiento científico, a esta</w:t>
      </w:r>
      <w:r w:rsidR="004F319E">
        <w:rPr>
          <w:lang w:val="es-ES"/>
        </w:rPr>
        <w:t>s</w:t>
      </w:r>
      <w:r>
        <w:rPr>
          <w:lang w:val="es-ES"/>
        </w:rPr>
        <w:t xml:space="preserve"> cuestiones. </w:t>
      </w:r>
      <w:r w:rsidRPr="001C6806">
        <w:rPr>
          <w:lang w:val="es-ES"/>
        </w:rPr>
        <w:t xml:space="preserve">En este sentido, desde la didáctica de las </w:t>
      </w:r>
      <w:r w:rsidR="007843A3">
        <w:rPr>
          <w:lang w:val="es-ES"/>
        </w:rPr>
        <w:t>ciencia</w:t>
      </w:r>
      <w:r w:rsidRPr="001C6806">
        <w:rPr>
          <w:lang w:val="es-ES"/>
        </w:rPr>
        <w:t xml:space="preserve">s se han ido construyendo desde hace ya muchos años marcos teóricos en relación a la Naturaleza de las </w:t>
      </w:r>
      <w:r w:rsidR="007843A3">
        <w:rPr>
          <w:lang w:val="es-ES"/>
        </w:rPr>
        <w:t>Ciencia</w:t>
      </w:r>
      <w:r w:rsidRPr="001C6806">
        <w:rPr>
          <w:lang w:val="es-ES"/>
        </w:rPr>
        <w:t>s, la Argumentación</w:t>
      </w:r>
      <w:r w:rsidR="00043370">
        <w:rPr>
          <w:lang w:val="es-ES"/>
        </w:rPr>
        <w:t xml:space="preserve"> </w:t>
      </w:r>
      <w:r w:rsidRPr="001C6806">
        <w:rPr>
          <w:lang w:val="es-ES"/>
        </w:rPr>
        <w:t>y</w:t>
      </w:r>
      <w:r w:rsidR="00043370">
        <w:rPr>
          <w:lang w:val="es-ES"/>
        </w:rPr>
        <w:t xml:space="preserve"> </w:t>
      </w:r>
      <w:r w:rsidRPr="001C6806">
        <w:rPr>
          <w:lang w:val="es-ES"/>
        </w:rPr>
        <w:t>del pensamiento crítico (que el lector podrá encontrar referenciados en las conclusiones), que últimamente están siendo ampliados en relación al papel de los valores y las emociones.</w:t>
      </w:r>
      <w:r>
        <w:rPr>
          <w:lang w:val="es-ES"/>
        </w:rPr>
        <w:t xml:space="preserve"> Y el profesorado tiene el reto de incluir estos posicionamientos en el </w:t>
      </w:r>
      <w:r w:rsidR="00A063C2" w:rsidRPr="001C6806">
        <w:rPr>
          <w:lang w:val="es-ES"/>
        </w:rPr>
        <w:t>diseño de las actividades de aula. Este artículo pretende proponer pautas y orientaciones para que el profesorado pueda aplicar esos marcos y enriquecer el diseño de sus actividades de aula</w:t>
      </w:r>
      <w:r w:rsidR="004F319E">
        <w:rPr>
          <w:lang w:val="es-ES"/>
        </w:rPr>
        <w:t xml:space="preserve"> desde esta perspectiva</w:t>
      </w:r>
      <w:r w:rsidR="00A063C2" w:rsidRPr="001C6806">
        <w:rPr>
          <w:lang w:val="es-ES"/>
        </w:rPr>
        <w:t>.</w:t>
      </w:r>
      <w:r w:rsidR="00043370">
        <w:rPr>
          <w:lang w:val="es-ES"/>
        </w:rPr>
        <w:t xml:space="preserve"> </w:t>
      </w:r>
    </w:p>
    <w:p w14:paraId="5DDDAE21" w14:textId="77777777" w:rsidR="00A063C2" w:rsidRPr="001C6806" w:rsidRDefault="00A063C2" w:rsidP="00A063C2">
      <w:pPr>
        <w:pStyle w:val="TextoNormal"/>
        <w:rPr>
          <w:lang w:val="es-ES"/>
        </w:rPr>
      </w:pPr>
    </w:p>
    <w:p w14:paraId="1C6E0008" w14:textId="77777777" w:rsidR="00A063C2" w:rsidRPr="001C6806" w:rsidRDefault="00A063C2" w:rsidP="00C2726E">
      <w:pPr>
        <w:pStyle w:val="Encabezado1"/>
        <w:numPr>
          <w:ilvl w:val="0"/>
          <w:numId w:val="7"/>
        </w:numPr>
        <w:spacing w:before="0" w:after="0"/>
        <w:rPr>
          <w:lang w:val="es-ES"/>
        </w:rPr>
      </w:pPr>
      <w:r w:rsidRPr="001C6806">
        <w:rPr>
          <w:lang w:val="es-ES"/>
        </w:rPr>
        <w:t>Marco Teórico</w:t>
      </w:r>
    </w:p>
    <w:p w14:paraId="4303F6CB" w14:textId="77777777" w:rsidR="004B410F" w:rsidRPr="001C6806" w:rsidRDefault="00C030E4" w:rsidP="00A063C2">
      <w:pPr>
        <w:pStyle w:val="TextoNormal"/>
        <w:ind w:firstLine="0"/>
        <w:rPr>
          <w:lang w:val="es-ES"/>
        </w:rPr>
      </w:pPr>
      <w:r w:rsidRPr="001C6806">
        <w:rPr>
          <w:lang w:val="es-ES"/>
        </w:rPr>
        <w:t xml:space="preserve"> </w:t>
      </w:r>
    </w:p>
    <w:p w14:paraId="0A1F92F4" w14:textId="77777777" w:rsidR="00A063C2" w:rsidRPr="001C6806" w:rsidRDefault="00A063C2" w:rsidP="00A063C2">
      <w:pPr>
        <w:pStyle w:val="Titulodelapartado"/>
        <w:numPr>
          <w:ilvl w:val="0"/>
          <w:numId w:val="0"/>
        </w:numPr>
        <w:rPr>
          <w:lang w:val="es-ES"/>
        </w:rPr>
      </w:pPr>
      <w:r w:rsidRPr="001C6806">
        <w:rPr>
          <w:lang w:val="es-ES"/>
        </w:rPr>
        <w:t>2.1. Las dimensiones de la Competencia científica</w:t>
      </w:r>
    </w:p>
    <w:p w14:paraId="78555FDF" w14:textId="77777777" w:rsidR="00A063C2" w:rsidRPr="001C6806" w:rsidRDefault="00A063C2" w:rsidP="00A063C2">
      <w:pPr>
        <w:pStyle w:val="TextoNormal"/>
        <w:rPr>
          <w:lang w:val="es-ES"/>
        </w:rPr>
      </w:pPr>
    </w:p>
    <w:p w14:paraId="0F3CCC89" w14:textId="6E4E4DA6" w:rsidR="008A7C65" w:rsidRDefault="008A7C65" w:rsidP="007843A3">
      <w:pPr>
        <w:pStyle w:val="TextoNormal"/>
        <w:jc w:val="both"/>
        <w:rPr>
          <w:lang w:val="es-ES"/>
        </w:rPr>
      </w:pPr>
      <w:r>
        <w:rPr>
          <w:lang w:val="es-ES"/>
        </w:rPr>
        <w:t>Las distintas defini</w:t>
      </w:r>
      <w:r w:rsidR="00D427E2">
        <w:rPr>
          <w:lang w:val="es-ES"/>
        </w:rPr>
        <w:t>ci</w:t>
      </w:r>
      <w:r>
        <w:rPr>
          <w:lang w:val="es-ES"/>
        </w:rPr>
        <w:t>ones de competencia científica</w:t>
      </w:r>
      <w:r w:rsidR="004F319E">
        <w:rPr>
          <w:lang w:val="es-ES"/>
        </w:rPr>
        <w:t xml:space="preserve"> se vinculan a prácticas de indagación, modelización y argumentación (</w:t>
      </w:r>
      <w:r w:rsidR="006D72BC">
        <w:rPr>
          <w:lang w:val="es-ES"/>
        </w:rPr>
        <w:t xml:space="preserve">Gráfico 1, </w:t>
      </w:r>
      <w:r w:rsidR="004F319E" w:rsidRPr="001C6806">
        <w:rPr>
          <w:lang w:val="es-ES"/>
        </w:rPr>
        <w:t>Giere, 1990</w:t>
      </w:r>
      <w:r w:rsidR="004F319E">
        <w:rPr>
          <w:lang w:val="es-ES"/>
        </w:rPr>
        <w:t>), y pueden caracterizarse en relación al diseño de actividades y la evaluación en</w:t>
      </w:r>
      <w:r w:rsidRPr="001C6806">
        <w:rPr>
          <w:lang w:val="es-ES"/>
        </w:rPr>
        <w:t xml:space="preserve"> tres dimensiones </w:t>
      </w:r>
      <w:r w:rsidR="00A063C2" w:rsidRPr="001C6806">
        <w:rPr>
          <w:lang w:val="es-ES"/>
        </w:rPr>
        <w:t>(Kind y Osborne, 2016</w:t>
      </w:r>
      <w:r>
        <w:rPr>
          <w:lang w:val="es-ES"/>
        </w:rPr>
        <w:t xml:space="preserve">; </w:t>
      </w:r>
      <w:r w:rsidR="00A063C2" w:rsidRPr="001C6806">
        <w:rPr>
          <w:lang w:val="es-ES"/>
        </w:rPr>
        <w:t>OCDE, 2015)</w:t>
      </w:r>
      <w:r>
        <w:rPr>
          <w:lang w:val="es-ES"/>
        </w:rPr>
        <w:t>:</w:t>
      </w:r>
    </w:p>
    <w:p w14:paraId="775AA86E" w14:textId="77777777" w:rsidR="006D72BC" w:rsidRDefault="006D72BC" w:rsidP="007843A3">
      <w:pPr>
        <w:pStyle w:val="TextoNormal"/>
        <w:jc w:val="both"/>
        <w:rPr>
          <w:lang w:val="es-ES"/>
        </w:rPr>
      </w:pPr>
    </w:p>
    <w:p w14:paraId="7E4BE7EB" w14:textId="59D372AD" w:rsidR="004B2C6E" w:rsidRDefault="008A7C65" w:rsidP="007843A3">
      <w:pPr>
        <w:pStyle w:val="TextoNormal"/>
        <w:jc w:val="both"/>
        <w:rPr>
          <w:lang w:val="es-ES"/>
        </w:rPr>
      </w:pPr>
      <w:r>
        <w:rPr>
          <w:lang w:val="es-ES"/>
        </w:rPr>
        <w:t>- a)</w:t>
      </w:r>
      <w:r w:rsidR="00A063C2" w:rsidRPr="001C6806">
        <w:rPr>
          <w:lang w:val="es-ES"/>
        </w:rPr>
        <w:t xml:space="preserve"> </w:t>
      </w:r>
      <w:r w:rsidR="00A063C2" w:rsidRPr="001C6806">
        <w:rPr>
          <w:b/>
          <w:lang w:val="es-ES"/>
        </w:rPr>
        <w:t>La dimensión conceptual</w:t>
      </w:r>
      <w:r w:rsidR="00A063C2" w:rsidRPr="001C6806">
        <w:rPr>
          <w:lang w:val="es-ES"/>
        </w:rPr>
        <w:t xml:space="preserve"> refiere a la capacidad de interpretar fenómenos o contextos en relación a modelos científicos e interrelacionar modelos científicos entre sí. Esta dimensión se asocia a los saberes científicos que el alumnado debe construir, que están relacionados con las grandes ideas o modelos de </w:t>
      </w:r>
      <w:r w:rsidR="007843A3">
        <w:rPr>
          <w:lang w:val="es-ES"/>
        </w:rPr>
        <w:t>ciencia</w:t>
      </w:r>
      <w:r w:rsidR="00A063C2" w:rsidRPr="001C6806">
        <w:rPr>
          <w:lang w:val="es-ES"/>
        </w:rPr>
        <w:t>, y podem</w:t>
      </w:r>
      <w:r w:rsidR="006D0797" w:rsidRPr="001C6806">
        <w:rPr>
          <w:lang w:val="es-ES"/>
        </w:rPr>
        <w:t xml:space="preserve">os asociarla </w:t>
      </w:r>
      <w:r w:rsidR="00654E29">
        <w:rPr>
          <w:lang w:val="es-ES"/>
        </w:rPr>
        <w:t>a la Modelización en el</w:t>
      </w:r>
      <w:r w:rsidR="006D0797" w:rsidRPr="001C6806">
        <w:rPr>
          <w:lang w:val="es-ES"/>
        </w:rPr>
        <w:t xml:space="preserve"> Gráfico </w:t>
      </w:r>
      <w:r w:rsidR="00A063C2" w:rsidRPr="001C6806">
        <w:rPr>
          <w:lang w:val="es-ES"/>
        </w:rPr>
        <w:t>1 (Giere, 1990; Harlen, 2010).</w:t>
      </w:r>
    </w:p>
    <w:p w14:paraId="410D1097" w14:textId="39C4EE7D" w:rsidR="004B2C6E" w:rsidRPr="001C6806" w:rsidRDefault="008A7C65" w:rsidP="007843A3">
      <w:pPr>
        <w:pStyle w:val="TextoNormal"/>
        <w:jc w:val="both"/>
        <w:rPr>
          <w:lang w:val="es-ES"/>
        </w:rPr>
      </w:pPr>
      <w:r>
        <w:rPr>
          <w:lang w:val="es-ES"/>
        </w:rPr>
        <w:t xml:space="preserve">-b) </w:t>
      </w:r>
      <w:r w:rsidR="004B2C6E" w:rsidRPr="001C6806">
        <w:rPr>
          <w:lang w:val="es-ES"/>
        </w:rPr>
        <w:t xml:space="preserve">La </w:t>
      </w:r>
      <w:r w:rsidR="004B2C6E" w:rsidRPr="001C6806">
        <w:rPr>
          <w:b/>
          <w:lang w:val="es-ES"/>
        </w:rPr>
        <w:t>dimensión procedimental</w:t>
      </w:r>
      <w:r w:rsidR="004B2C6E" w:rsidRPr="001C6806">
        <w:rPr>
          <w:lang w:val="es-ES"/>
        </w:rPr>
        <w:t xml:space="preserve"> denomina las habilidades de razonamiento científico, como identificar pautas, razonamiento inductivo y deductivo, o diseñar experimentos. Esta dimensión se suele asociar al desarrollo de “Inquiry Skills” (Llewellyn, 2005, Bybee, 2006, Windschitl, Thompson y Braaten, 2008), y podemos asociarla </w:t>
      </w:r>
      <w:r w:rsidR="00654E29">
        <w:rPr>
          <w:lang w:val="es-ES"/>
        </w:rPr>
        <w:t>a la Indagación en el</w:t>
      </w:r>
      <w:r w:rsidR="004B2C6E" w:rsidRPr="001C6806">
        <w:rPr>
          <w:lang w:val="es-ES"/>
        </w:rPr>
        <w:t xml:space="preserve"> Gráfico 1. </w:t>
      </w:r>
    </w:p>
    <w:p w14:paraId="6457D367" w14:textId="1F877B9A" w:rsidR="004B2C6E" w:rsidRPr="001C6806" w:rsidRDefault="008A7C65" w:rsidP="007843A3">
      <w:pPr>
        <w:pStyle w:val="TextoNormal"/>
        <w:jc w:val="both"/>
        <w:rPr>
          <w:lang w:val="es-ES"/>
        </w:rPr>
      </w:pPr>
      <w:r>
        <w:rPr>
          <w:lang w:val="es-ES"/>
        </w:rPr>
        <w:t xml:space="preserve">- c) </w:t>
      </w:r>
      <w:r w:rsidR="004B2C6E" w:rsidRPr="001C6806">
        <w:rPr>
          <w:lang w:val="es-ES"/>
        </w:rPr>
        <w:t xml:space="preserve">La </w:t>
      </w:r>
      <w:r w:rsidR="004B2C6E" w:rsidRPr="001C6806">
        <w:rPr>
          <w:b/>
          <w:lang w:val="es-ES"/>
        </w:rPr>
        <w:t>dimensión epistémica</w:t>
      </w:r>
      <w:r w:rsidR="00043370">
        <w:rPr>
          <w:lang w:val="es-ES"/>
        </w:rPr>
        <w:t xml:space="preserve"> </w:t>
      </w:r>
      <w:r w:rsidR="004B2C6E" w:rsidRPr="001C6806">
        <w:rPr>
          <w:lang w:val="es-ES"/>
        </w:rPr>
        <w:t xml:space="preserve">identifica todos los aspectos relacionados con el modo que tiene la </w:t>
      </w:r>
      <w:r w:rsidR="007843A3">
        <w:rPr>
          <w:lang w:val="es-ES"/>
        </w:rPr>
        <w:t>ciencia</w:t>
      </w:r>
      <w:r w:rsidR="004B2C6E" w:rsidRPr="001C6806">
        <w:rPr>
          <w:lang w:val="es-ES"/>
        </w:rPr>
        <w:t xml:space="preserve"> de validar conocimiento mediante la argumentación (parte inferior del Gráfico 1), incluyendo tanto dinámicas sociales como marcos lógicos, y suele asociarse al trabajo con situaciones de Historia de la </w:t>
      </w:r>
      <w:r w:rsidR="007843A3">
        <w:rPr>
          <w:lang w:val="es-ES"/>
        </w:rPr>
        <w:t>Ciencia</w:t>
      </w:r>
      <w:r w:rsidR="004B2C6E" w:rsidRPr="001C6806">
        <w:rPr>
          <w:lang w:val="es-ES"/>
        </w:rPr>
        <w:t>, controversias científicas y dinámicas epistémicas argumentativas (Duschl, 2008; Jiménez-Aleixandre, 2010; Osborne, 2014).</w:t>
      </w:r>
    </w:p>
    <w:p w14:paraId="1855F9B3" w14:textId="77777777" w:rsidR="004B2C6E" w:rsidRPr="001C6806" w:rsidRDefault="004B2C6E" w:rsidP="007843A3">
      <w:pPr>
        <w:pStyle w:val="TextoNormal"/>
        <w:jc w:val="both"/>
        <w:rPr>
          <w:lang w:val="es-ES"/>
        </w:rPr>
      </w:pPr>
    </w:p>
    <w:p w14:paraId="3559155B" w14:textId="23429325" w:rsidR="004B2C6E" w:rsidRPr="001C6806" w:rsidRDefault="004B2C6E" w:rsidP="007843A3">
      <w:pPr>
        <w:pStyle w:val="Citatextual"/>
        <w:jc w:val="both"/>
        <w:rPr>
          <w:color w:val="auto"/>
          <w:lang w:val="es-ES"/>
        </w:rPr>
      </w:pPr>
      <w:r w:rsidRPr="001C6806">
        <w:rPr>
          <w:color w:val="auto"/>
          <w:lang w:val="es-ES"/>
        </w:rPr>
        <w:lastRenderedPageBreak/>
        <w:t xml:space="preserve">Por ejemplo, ante el anuncio de un terremoto, pueden activarse la dimensión conceptual (asociar ese evento al movimiento de las placas tectónicas o los terremotos para interpretarlo), la dimensión procedimental (analizar en formato gráfico cada cuándo y dónde se han producido para predecir el próximo) y la dimensión epistémica (establecer hasta qué punto es segura la explicación </w:t>
      </w:r>
      <w:r w:rsidR="00B91246">
        <w:rPr>
          <w:color w:val="auto"/>
          <w:lang w:val="es-ES"/>
        </w:rPr>
        <w:t>o</w:t>
      </w:r>
      <w:r w:rsidRPr="001C6806">
        <w:rPr>
          <w:color w:val="auto"/>
          <w:lang w:val="es-ES"/>
        </w:rPr>
        <w:t xml:space="preserve"> la predicción con los datos que tenemos y su origen). </w:t>
      </w:r>
    </w:p>
    <w:p w14:paraId="359508EB" w14:textId="77777777" w:rsidR="004B2C6E" w:rsidRPr="001C6806" w:rsidRDefault="004B2C6E" w:rsidP="007843A3">
      <w:pPr>
        <w:pStyle w:val="TextoNormal"/>
        <w:jc w:val="both"/>
        <w:rPr>
          <w:lang w:val="es-ES"/>
        </w:rPr>
      </w:pPr>
    </w:p>
    <w:p w14:paraId="3183F670" w14:textId="77777777" w:rsidR="006D0797" w:rsidRPr="001C6806" w:rsidRDefault="006D0797" w:rsidP="006D0797">
      <w:pPr>
        <w:pStyle w:val="phmfigures"/>
        <w:spacing w:before="0"/>
        <w:ind w:firstLine="0"/>
        <w:rPr>
          <w:lang w:val="es-ES" w:eastAsia="es-ES"/>
        </w:rPr>
      </w:pPr>
      <w:r w:rsidRPr="001C6806">
        <w:rPr>
          <w:b/>
          <w:smallCaps/>
          <w:sz w:val="22"/>
          <w:lang w:val="es-ES"/>
        </w:rPr>
        <w:t xml:space="preserve">Gráfico </w:t>
      </w:r>
      <w:r w:rsidRPr="001C6806">
        <w:rPr>
          <w:b/>
          <w:smallCaps/>
          <w:noProof w:val="0"/>
          <w:sz w:val="22"/>
          <w:lang w:val="es-ES"/>
        </w:rPr>
        <w:fldChar w:fldCharType="begin"/>
      </w:r>
      <w:r w:rsidRPr="001C6806">
        <w:rPr>
          <w:b/>
          <w:smallCaps/>
          <w:sz w:val="22"/>
          <w:lang w:val="es-ES"/>
        </w:rPr>
        <w:instrText xml:space="preserve"> SEQ Figure \* ARABIC </w:instrText>
      </w:r>
      <w:r w:rsidRPr="001C6806">
        <w:rPr>
          <w:b/>
          <w:smallCaps/>
          <w:noProof w:val="0"/>
          <w:sz w:val="22"/>
          <w:lang w:val="es-ES"/>
        </w:rPr>
        <w:fldChar w:fldCharType="separate"/>
      </w:r>
      <w:r w:rsidRPr="001C6806">
        <w:rPr>
          <w:b/>
          <w:smallCaps/>
          <w:sz w:val="22"/>
          <w:lang w:val="es-ES"/>
        </w:rPr>
        <w:t>1</w:t>
      </w:r>
      <w:r w:rsidRPr="001C6806">
        <w:rPr>
          <w:b/>
          <w:smallCaps/>
          <w:sz w:val="22"/>
          <w:lang w:val="es-ES"/>
        </w:rPr>
        <w:fldChar w:fldCharType="end"/>
      </w:r>
      <w:r w:rsidRPr="001C6806">
        <w:rPr>
          <w:b/>
          <w:smallCaps/>
          <w:sz w:val="22"/>
          <w:lang w:val="es-ES"/>
        </w:rPr>
        <w:t xml:space="preserve">. </w:t>
      </w:r>
      <w:r w:rsidRPr="001C6806">
        <w:rPr>
          <w:sz w:val="22"/>
          <w:lang w:val="es-ES"/>
        </w:rPr>
        <w:t>Esquema de la actividad científica basado en (Giere, 1990), adaptado por Garrido Espeja (2016).</w:t>
      </w:r>
    </w:p>
    <w:p w14:paraId="2E920313" w14:textId="77777777" w:rsidR="00A063C2" w:rsidRPr="001C6806" w:rsidRDefault="00A063C2" w:rsidP="00A063C2">
      <w:pPr>
        <w:pStyle w:val="TextoNormal"/>
        <w:rPr>
          <w:lang w:val="es-ES"/>
        </w:rPr>
      </w:pPr>
    </w:p>
    <w:p w14:paraId="328CC852" w14:textId="77777777" w:rsidR="00A063C2" w:rsidRPr="001C6806" w:rsidRDefault="004B2C6E" w:rsidP="00426869">
      <w:pPr>
        <w:pStyle w:val="TextoNormal"/>
        <w:jc w:val="center"/>
        <w:rPr>
          <w:lang w:val="es-ES"/>
        </w:rPr>
      </w:pPr>
      <w:r w:rsidRPr="001C6806">
        <w:rPr>
          <w:noProof/>
          <w:lang w:val="es-ES" w:eastAsia="es-ES"/>
        </w:rPr>
        <w:drawing>
          <wp:inline distT="0" distB="0" distL="0" distR="0" wp14:anchorId="6AEF43CE" wp14:editId="78092434">
            <wp:extent cx="4086225" cy="32456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89775" cy="3248499"/>
                    </a:xfrm>
                    <a:prstGeom prst="rect">
                      <a:avLst/>
                    </a:prstGeom>
                  </pic:spPr>
                </pic:pic>
              </a:graphicData>
            </a:graphic>
          </wp:inline>
        </w:drawing>
      </w:r>
    </w:p>
    <w:p w14:paraId="7946F576" w14:textId="52E8FE00" w:rsidR="006D72BC" w:rsidRDefault="008A7C65" w:rsidP="00A051FE">
      <w:pPr>
        <w:pStyle w:val="TextoNormal"/>
        <w:jc w:val="both"/>
        <w:rPr>
          <w:lang w:val="es-ES"/>
        </w:rPr>
      </w:pPr>
      <w:r>
        <w:rPr>
          <w:lang w:val="es-ES"/>
        </w:rPr>
        <w:t xml:space="preserve">Todas las dimensiones participan </w:t>
      </w:r>
      <w:r w:rsidR="00B91246">
        <w:rPr>
          <w:lang w:val="es-ES"/>
        </w:rPr>
        <w:t>en cómo cada uno de nosotros</w:t>
      </w:r>
      <w:r>
        <w:rPr>
          <w:lang w:val="es-ES"/>
        </w:rPr>
        <w:t xml:space="preserve"> el conocimiento científico a partir de las diversas interacciones que tenemos con esta forma de interpretar el mundo (</w:t>
      </w:r>
      <w:r w:rsidR="006D72BC">
        <w:rPr>
          <w:lang w:val="es-ES"/>
        </w:rPr>
        <w:t>sobre todo</w:t>
      </w:r>
      <w:r>
        <w:rPr>
          <w:lang w:val="es-ES"/>
        </w:rPr>
        <w:t xml:space="preserve"> en la escuela, pero también con las noticias de prensa, los comentarios de personas </w:t>
      </w:r>
      <w:r w:rsidR="00B91246">
        <w:rPr>
          <w:lang w:val="es-ES"/>
        </w:rPr>
        <w:t>en TV o redes sociales, etc.). T</w:t>
      </w:r>
      <w:r>
        <w:rPr>
          <w:lang w:val="es-ES"/>
        </w:rPr>
        <w:t>radicionalmente, en la escuela se han trabajado principalment</w:t>
      </w:r>
      <w:r w:rsidR="004F319E">
        <w:rPr>
          <w:lang w:val="es-ES"/>
        </w:rPr>
        <w:t>e</w:t>
      </w:r>
      <w:r>
        <w:rPr>
          <w:lang w:val="es-ES"/>
        </w:rPr>
        <w:t xml:space="preserve"> la conceptual y la procedimental, y desde hace poco se empieza a poner el foco e</w:t>
      </w:r>
      <w:r w:rsidR="00457766">
        <w:rPr>
          <w:lang w:val="es-ES"/>
        </w:rPr>
        <w:t>n</w:t>
      </w:r>
      <w:r>
        <w:rPr>
          <w:lang w:val="es-ES"/>
        </w:rPr>
        <w:t xml:space="preserve"> la dimensión epistémica. Esta</w:t>
      </w:r>
      <w:r w:rsidR="00043370">
        <w:rPr>
          <w:lang w:val="es-ES"/>
        </w:rPr>
        <w:t xml:space="preserve"> </w:t>
      </w:r>
      <w:r w:rsidRPr="001C6806">
        <w:rPr>
          <w:lang w:val="es-ES"/>
        </w:rPr>
        <w:t>dimensión juega un papel clave en la aceptación de pseudo</w:t>
      </w:r>
      <w:r w:rsidR="007843A3">
        <w:rPr>
          <w:lang w:val="es-ES"/>
        </w:rPr>
        <w:t>ciencia</w:t>
      </w:r>
      <w:r w:rsidRPr="001C6806">
        <w:rPr>
          <w:lang w:val="es-ES"/>
        </w:rPr>
        <w:t xml:space="preserve">s y su despliegue requiere no sólo la inclusión de distintas habilidades y </w:t>
      </w:r>
      <w:r w:rsidR="006D72BC">
        <w:rPr>
          <w:lang w:val="es-ES"/>
        </w:rPr>
        <w:t>conocimientos</w:t>
      </w:r>
      <w:r>
        <w:rPr>
          <w:lang w:val="es-ES"/>
        </w:rPr>
        <w:t xml:space="preserve"> </w:t>
      </w:r>
      <w:r w:rsidRPr="001C6806">
        <w:rPr>
          <w:lang w:val="es-ES"/>
        </w:rPr>
        <w:t>(National Research Council, 2012), sino también la vinculación de éstas con el propio sistema de valores y la acción del individuo en el entorno (Berland</w:t>
      </w:r>
      <w:r>
        <w:rPr>
          <w:lang w:val="es-ES"/>
        </w:rPr>
        <w:t xml:space="preserve">, </w:t>
      </w:r>
      <w:r w:rsidRPr="00B2071E">
        <w:rPr>
          <w:lang w:val="es-ES"/>
        </w:rPr>
        <w:t>Schwarz, Krist, Kenyon, Lo</w:t>
      </w:r>
      <w:r>
        <w:rPr>
          <w:lang w:val="es-ES"/>
        </w:rPr>
        <w:t xml:space="preserve"> </w:t>
      </w:r>
      <w:r w:rsidRPr="00B2071E">
        <w:rPr>
          <w:lang w:val="es-ES"/>
        </w:rPr>
        <w:t>y Reiser</w:t>
      </w:r>
      <w:r w:rsidRPr="001C6806">
        <w:rPr>
          <w:lang w:val="es-ES"/>
        </w:rPr>
        <w:t>, 2016).</w:t>
      </w:r>
      <w:r w:rsidR="00A051FE">
        <w:rPr>
          <w:lang w:val="es-ES"/>
        </w:rPr>
        <w:t xml:space="preserve"> </w:t>
      </w:r>
    </w:p>
    <w:p w14:paraId="02D85D23" w14:textId="32439C5D" w:rsidR="004B2C6E" w:rsidRDefault="00A051FE" w:rsidP="00A051FE">
      <w:pPr>
        <w:pStyle w:val="TextoNormal"/>
        <w:jc w:val="both"/>
        <w:rPr>
          <w:lang w:val="es-ES"/>
        </w:rPr>
      </w:pPr>
      <w:r>
        <w:rPr>
          <w:lang w:val="es-ES"/>
        </w:rPr>
        <w:t xml:space="preserve">El despliegue de estas dimensiones en las actividades y dinámicas de aula requiere interpelar el diseño de las actividades, algo que puede hacerse, por ejemplo, usando preguntas </w:t>
      </w:r>
      <w:r w:rsidR="004B2C6E" w:rsidRPr="001C6806">
        <w:rPr>
          <w:lang w:val="es-ES"/>
        </w:rPr>
        <w:t>en relación a las distintas dimensiones (</w:t>
      </w:r>
      <w:r w:rsidR="00426869" w:rsidRPr="001C6806">
        <w:rPr>
          <w:lang w:val="es-ES"/>
        </w:rPr>
        <w:t>Gráfico</w:t>
      </w:r>
      <w:r w:rsidR="004B2C6E" w:rsidRPr="001C6806">
        <w:rPr>
          <w:lang w:val="es-ES"/>
        </w:rPr>
        <w:t xml:space="preserve"> 2)</w:t>
      </w:r>
      <w:r>
        <w:rPr>
          <w:lang w:val="es-ES"/>
        </w:rPr>
        <w:t xml:space="preserve"> para identificar posibilidades de modificación del diseño de las actividades.</w:t>
      </w:r>
    </w:p>
    <w:p w14:paraId="56AB018D" w14:textId="66F6CF85" w:rsidR="00B91246" w:rsidRDefault="00B91246">
      <w:pPr>
        <w:rPr>
          <w:lang w:val="es-ES"/>
        </w:rPr>
      </w:pPr>
      <w:r>
        <w:rPr>
          <w:lang w:val="es-ES"/>
        </w:rPr>
        <w:br w:type="page"/>
      </w:r>
    </w:p>
    <w:p w14:paraId="25841D1A" w14:textId="77777777" w:rsidR="004F319E" w:rsidRDefault="004F319E" w:rsidP="00A051FE">
      <w:pPr>
        <w:pStyle w:val="TextoNormal"/>
        <w:jc w:val="both"/>
        <w:rPr>
          <w:lang w:val="es-ES"/>
        </w:rPr>
      </w:pPr>
    </w:p>
    <w:p w14:paraId="5CE3D1A3" w14:textId="77777777" w:rsidR="004F319E" w:rsidRPr="001C6806" w:rsidRDefault="004F319E" w:rsidP="004F319E">
      <w:pPr>
        <w:pStyle w:val="phmfigures"/>
        <w:spacing w:before="0"/>
        <w:ind w:firstLine="0"/>
        <w:rPr>
          <w:sz w:val="22"/>
          <w:lang w:val="es-ES"/>
        </w:rPr>
      </w:pPr>
      <w:r w:rsidRPr="001C6806">
        <w:rPr>
          <w:b/>
          <w:smallCaps/>
          <w:sz w:val="22"/>
          <w:lang w:val="es-ES"/>
        </w:rPr>
        <w:t xml:space="preserve">Gráfico </w:t>
      </w:r>
      <w:r w:rsidRPr="001C6806">
        <w:rPr>
          <w:b/>
          <w:smallCaps/>
          <w:noProof w:val="0"/>
          <w:sz w:val="22"/>
          <w:lang w:val="es-ES"/>
        </w:rPr>
        <w:t>2</w:t>
      </w:r>
      <w:r w:rsidRPr="001C6806">
        <w:rPr>
          <w:b/>
          <w:smallCaps/>
          <w:sz w:val="22"/>
          <w:lang w:val="es-ES"/>
        </w:rPr>
        <w:t xml:space="preserve">. </w:t>
      </w:r>
      <w:r w:rsidRPr="001C6806">
        <w:rPr>
          <w:sz w:val="22"/>
          <w:lang w:val="es-ES"/>
        </w:rPr>
        <w:t>Dimensiones de la competencia científica e instancias que pueden ayudar a enriquecer el diseño didáctico de actividades para desarrollarlas (Domènech-Casal, 2019</w:t>
      </w:r>
      <w:r>
        <w:rPr>
          <w:sz w:val="22"/>
          <w:lang w:val="es-ES"/>
        </w:rPr>
        <w:t>a</w:t>
      </w:r>
      <w:r w:rsidRPr="001C6806">
        <w:rPr>
          <w:sz w:val="22"/>
          <w:lang w:val="es-ES"/>
        </w:rPr>
        <w:t>).</w:t>
      </w:r>
    </w:p>
    <w:p w14:paraId="2AEE4A02" w14:textId="77777777" w:rsidR="004F319E" w:rsidRPr="001C6806" w:rsidRDefault="004F319E" w:rsidP="004F319E">
      <w:pPr>
        <w:pStyle w:val="phmfigures"/>
        <w:spacing w:before="0"/>
        <w:ind w:firstLine="0"/>
        <w:rPr>
          <w:sz w:val="22"/>
          <w:lang w:val="es-ES"/>
        </w:rPr>
      </w:pPr>
    </w:p>
    <w:p w14:paraId="129A08DE" w14:textId="77777777" w:rsidR="004F319E" w:rsidRPr="001C6806" w:rsidRDefault="004F319E" w:rsidP="004F319E">
      <w:pPr>
        <w:pStyle w:val="phmfigures"/>
        <w:spacing w:before="0"/>
        <w:ind w:firstLine="0"/>
        <w:rPr>
          <w:lang w:val="es-ES"/>
        </w:rPr>
      </w:pPr>
      <w:r w:rsidRPr="001C6806">
        <w:rPr>
          <w:rFonts w:ascii="Palatino Linotype" w:eastAsia="Palatino Linotype" w:hAnsi="Palatino Linotype" w:cs="Palatino Linotype"/>
          <w:lang w:val="es-ES" w:eastAsia="es-ES"/>
        </w:rPr>
        <w:drawing>
          <wp:inline distT="0" distB="0" distL="0" distR="0" wp14:anchorId="1B60FB49" wp14:editId="65FA4F3C">
            <wp:extent cx="4643285" cy="3448050"/>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50540" cy="3453438"/>
                    </a:xfrm>
                    <a:prstGeom prst="rect">
                      <a:avLst/>
                    </a:prstGeom>
                  </pic:spPr>
                </pic:pic>
              </a:graphicData>
            </a:graphic>
          </wp:inline>
        </w:drawing>
      </w:r>
    </w:p>
    <w:p w14:paraId="3A52F3D5" w14:textId="77777777" w:rsidR="004F319E" w:rsidRPr="001C6806" w:rsidRDefault="004F319E" w:rsidP="004F319E">
      <w:pPr>
        <w:pStyle w:val="TextoNormal"/>
        <w:ind w:firstLine="0"/>
        <w:rPr>
          <w:lang w:val="es-ES"/>
        </w:rPr>
      </w:pPr>
    </w:p>
    <w:p w14:paraId="3CCE9981" w14:textId="77777777" w:rsidR="004F319E" w:rsidRPr="001C6806" w:rsidRDefault="004F319E" w:rsidP="00A051FE">
      <w:pPr>
        <w:pStyle w:val="TextoNormal"/>
        <w:jc w:val="both"/>
        <w:rPr>
          <w:lang w:val="es-ES"/>
        </w:rPr>
      </w:pPr>
    </w:p>
    <w:p w14:paraId="4179A875" w14:textId="77777777" w:rsidR="00426869" w:rsidRPr="001C6806" w:rsidRDefault="00426869" w:rsidP="004B2C6E">
      <w:pPr>
        <w:pStyle w:val="TextoNormal"/>
        <w:rPr>
          <w:lang w:val="es-ES"/>
        </w:rPr>
      </w:pPr>
    </w:p>
    <w:p w14:paraId="2A07E8CA" w14:textId="77777777" w:rsidR="00A063C2" w:rsidRPr="001C6806" w:rsidRDefault="00A063C2" w:rsidP="00C2726E">
      <w:pPr>
        <w:pStyle w:val="Titulodelapartado"/>
        <w:numPr>
          <w:ilvl w:val="1"/>
          <w:numId w:val="7"/>
        </w:numPr>
        <w:rPr>
          <w:lang w:val="es-ES"/>
        </w:rPr>
      </w:pPr>
      <w:r w:rsidRPr="001C6806">
        <w:rPr>
          <w:lang w:val="es-ES"/>
        </w:rPr>
        <w:t>Desplegar la dimensión epistémica en el diseño de las actividades de aula</w:t>
      </w:r>
    </w:p>
    <w:p w14:paraId="0C7A602F" w14:textId="77777777" w:rsidR="00426869" w:rsidRPr="001C6806" w:rsidRDefault="00426869" w:rsidP="00426869">
      <w:pPr>
        <w:pStyle w:val="TextoNormal"/>
        <w:rPr>
          <w:lang w:val="es-ES"/>
        </w:rPr>
      </w:pPr>
    </w:p>
    <w:p w14:paraId="2A9B50E0" w14:textId="5AAFA1D0" w:rsidR="008A7C65" w:rsidRDefault="00A063C2" w:rsidP="00A051FE">
      <w:pPr>
        <w:pStyle w:val="TextoNormal"/>
        <w:jc w:val="both"/>
        <w:rPr>
          <w:lang w:val="es-ES"/>
        </w:rPr>
      </w:pPr>
      <w:r w:rsidRPr="001C6806">
        <w:rPr>
          <w:lang w:val="es-ES"/>
        </w:rPr>
        <w:t>Varios autores han propuesto que el despliegue de la dimensión epistémica implica el desarrollo de prácticas científicas en el aula que emulen los procesos de construcción del conocimiento científico, como la modelización, la argumentación, y la comunicación científica (Osborne, 2011, Giere, 2001).</w:t>
      </w:r>
      <w:r w:rsidR="00043370">
        <w:rPr>
          <w:lang w:val="es-ES"/>
        </w:rPr>
        <w:t xml:space="preserve"> </w:t>
      </w:r>
      <w:r w:rsidRPr="001C6806">
        <w:rPr>
          <w:lang w:val="es-ES"/>
        </w:rPr>
        <w:t xml:space="preserve">Esto no se reduce a “ir al laboratorio”, sino a la construcción de escenarios que promuevan la apropiación de los criterios epistémicos y de construcción social de la </w:t>
      </w:r>
      <w:r w:rsidR="007843A3">
        <w:rPr>
          <w:lang w:val="es-ES"/>
        </w:rPr>
        <w:t>ciencia</w:t>
      </w:r>
      <w:r w:rsidRPr="001C6806">
        <w:rPr>
          <w:lang w:val="es-ES"/>
        </w:rPr>
        <w:t xml:space="preserve"> (Duschl y Grandy, 2012, García-Carmona, 2021), el pensamiento crítico</w:t>
      </w:r>
      <w:r w:rsidR="00043370">
        <w:rPr>
          <w:lang w:val="es-ES"/>
        </w:rPr>
        <w:t xml:space="preserve"> </w:t>
      </w:r>
      <w:r w:rsidRPr="001C6806">
        <w:rPr>
          <w:lang w:val="es-ES"/>
        </w:rPr>
        <w:t>(Oliveras, Márquez Bargalló y Sanmartí 2013) y la formulación de juicios reflexivos y explícitos sobre los posicionamientos epistémicos (Chinn, Buckland y</w:t>
      </w:r>
      <w:r w:rsidR="00043370">
        <w:rPr>
          <w:lang w:val="es-ES"/>
        </w:rPr>
        <w:t xml:space="preserve"> </w:t>
      </w:r>
      <w:r w:rsidRPr="001C6806">
        <w:rPr>
          <w:lang w:val="es-ES"/>
        </w:rPr>
        <w:t>Samarapungavan, 2011).</w:t>
      </w:r>
      <w:r w:rsidR="00043370">
        <w:rPr>
          <w:lang w:val="es-ES"/>
        </w:rPr>
        <w:t xml:space="preserve"> </w:t>
      </w:r>
      <w:r w:rsidR="008A7C65">
        <w:rPr>
          <w:lang w:val="es-ES"/>
        </w:rPr>
        <w:t>Esto implica, por ejemplo, trabajar cómo se resolvieron controversias científicas históricas (la aceptación de los trabajos de Pasteur o Copérnico, o la negación de las evidencias de</w:t>
      </w:r>
      <w:r w:rsidR="00043370">
        <w:rPr>
          <w:lang w:val="es-ES"/>
        </w:rPr>
        <w:t xml:space="preserve"> </w:t>
      </w:r>
      <w:r w:rsidR="008A7C65" w:rsidRPr="00A051FE">
        <w:rPr>
          <w:lang w:val="es-ES"/>
        </w:rPr>
        <w:t>Semmelweis, etc.) para identificar el tipo de argumento – a veces, no científico- que se usaba para validar nuevos conocimientos. Per</w:t>
      </w:r>
      <w:r w:rsidR="00A051FE">
        <w:rPr>
          <w:lang w:val="es-ES"/>
        </w:rPr>
        <w:t>o</w:t>
      </w:r>
      <w:r w:rsidR="00043370">
        <w:rPr>
          <w:lang w:val="es-ES"/>
        </w:rPr>
        <w:t xml:space="preserve"> </w:t>
      </w:r>
      <w:r w:rsidR="008A7C65" w:rsidRPr="00A051FE">
        <w:rPr>
          <w:lang w:val="es-ES"/>
        </w:rPr>
        <w:t>también reflexionar sobre qu</w:t>
      </w:r>
      <w:r w:rsidR="00BC4282">
        <w:rPr>
          <w:lang w:val="es-ES"/>
        </w:rPr>
        <w:t>é</w:t>
      </w:r>
      <w:r w:rsidR="008A7C65" w:rsidRPr="00A051FE">
        <w:rPr>
          <w:lang w:val="es-ES"/>
        </w:rPr>
        <w:t xml:space="preserve"> tipo de argumentos usamos para construir nuestro propio conocim</w:t>
      </w:r>
      <w:r w:rsidR="00A051FE">
        <w:rPr>
          <w:lang w:val="es-ES"/>
        </w:rPr>
        <w:t>i</w:t>
      </w:r>
      <w:r w:rsidR="008A7C65" w:rsidRPr="00A051FE">
        <w:rPr>
          <w:lang w:val="es-ES"/>
        </w:rPr>
        <w:t>ento científico (es decir, qu</w:t>
      </w:r>
      <w:r w:rsidR="00BC4282">
        <w:rPr>
          <w:lang w:val="es-ES"/>
        </w:rPr>
        <w:t>é</w:t>
      </w:r>
      <w:r w:rsidR="008A7C65" w:rsidRPr="00A051FE">
        <w:rPr>
          <w:lang w:val="es-ES"/>
        </w:rPr>
        <w:t xml:space="preserve"> se est</w:t>
      </w:r>
      <w:r w:rsidR="00A051FE">
        <w:rPr>
          <w:lang w:val="es-ES"/>
        </w:rPr>
        <w:t xml:space="preserve">á poniendo </w:t>
      </w:r>
      <w:r w:rsidR="008A7C65" w:rsidRPr="00A051FE">
        <w:rPr>
          <w:lang w:val="es-ES"/>
        </w:rPr>
        <w:t>en práctica cuando nos tomamos un medicamento porque nos lo ha recomendado un amigo, o cu</w:t>
      </w:r>
      <w:r w:rsidR="00A051FE">
        <w:rPr>
          <w:lang w:val="es-ES"/>
        </w:rPr>
        <w:t xml:space="preserve">ando empezamos una dieta que </w:t>
      </w:r>
      <w:r w:rsidR="008A7C65" w:rsidRPr="00A051FE">
        <w:rPr>
          <w:lang w:val="es-ES"/>
        </w:rPr>
        <w:t>promociona un deportista famoso, etc).</w:t>
      </w:r>
    </w:p>
    <w:p w14:paraId="2AD8F58B" w14:textId="77777777" w:rsidR="008A7C65" w:rsidRDefault="008A7C65" w:rsidP="00A051FE">
      <w:pPr>
        <w:pStyle w:val="TextoNormal"/>
        <w:jc w:val="both"/>
        <w:rPr>
          <w:lang w:val="es-ES"/>
        </w:rPr>
      </w:pPr>
    </w:p>
    <w:p w14:paraId="4DC89389" w14:textId="025ABB69" w:rsidR="00A063C2" w:rsidRPr="001C6806" w:rsidRDefault="00A063C2" w:rsidP="007843A3">
      <w:pPr>
        <w:pStyle w:val="TextoNormal"/>
        <w:jc w:val="both"/>
        <w:rPr>
          <w:lang w:val="es-ES"/>
        </w:rPr>
      </w:pPr>
      <w:r w:rsidRPr="001C6806">
        <w:rPr>
          <w:lang w:val="es-ES"/>
        </w:rPr>
        <w:t xml:space="preserve">Entre estos enfoques metodológicos destacamos </w:t>
      </w:r>
      <w:r w:rsidR="00B91246">
        <w:rPr>
          <w:lang w:val="es-ES"/>
        </w:rPr>
        <w:t>propuestas metodológicas como el</w:t>
      </w:r>
      <w:r w:rsidRPr="001C6806">
        <w:rPr>
          <w:lang w:val="es-ES"/>
        </w:rPr>
        <w:t xml:space="preserve"> trabajo con Controversias Socio-Científicas (Sadler, 2011, Díaz y Jiménez</w:t>
      </w:r>
      <w:r w:rsidR="00B2071E">
        <w:rPr>
          <w:lang w:val="es-ES"/>
        </w:rPr>
        <w:t>-</w:t>
      </w:r>
      <w:r w:rsidRPr="001C6806">
        <w:rPr>
          <w:lang w:val="es-ES"/>
        </w:rPr>
        <w:t>Li</w:t>
      </w:r>
      <w:r w:rsidR="00B2071E">
        <w:rPr>
          <w:lang w:val="es-ES"/>
        </w:rPr>
        <w:t>so, 2012, Solbes y Torres, 2012</w:t>
      </w:r>
      <w:r w:rsidRPr="001C6806">
        <w:rPr>
          <w:lang w:val="es-ES"/>
        </w:rPr>
        <w:t xml:space="preserve">), el análisis crítico (Jiménez-Taracido y Otero, 2019), el estudio de casos de Historia de la </w:t>
      </w:r>
      <w:r w:rsidR="007843A3">
        <w:rPr>
          <w:lang w:val="es-ES"/>
        </w:rPr>
        <w:t>Ciencia</w:t>
      </w:r>
      <w:r w:rsidRPr="001C6806">
        <w:rPr>
          <w:lang w:val="es-ES"/>
        </w:rPr>
        <w:t xml:space="preserve"> (García-Carmona, Vázquez</w:t>
      </w:r>
      <w:r w:rsidR="00B2071E">
        <w:rPr>
          <w:lang w:val="es-ES"/>
        </w:rPr>
        <w:t xml:space="preserve"> </w:t>
      </w:r>
      <w:r w:rsidRPr="001C6806">
        <w:rPr>
          <w:lang w:val="es-ES"/>
        </w:rPr>
        <w:t>y Manassero, 2012</w:t>
      </w:r>
      <w:r w:rsidR="00B2071E">
        <w:rPr>
          <w:lang w:val="es-ES"/>
        </w:rPr>
        <w:t>,</w:t>
      </w:r>
      <w:r w:rsidRPr="001C6806">
        <w:rPr>
          <w:lang w:val="es-ES"/>
        </w:rPr>
        <w:t xml:space="preserve">; Izquierdo, 1996), el uso de pruebas y la argumentación (Erduran y Jiménez-Aleixandre, 2008), la relación entre </w:t>
      </w:r>
      <w:r w:rsidR="007843A3">
        <w:rPr>
          <w:lang w:val="es-ES"/>
        </w:rPr>
        <w:t>Ciencia</w:t>
      </w:r>
      <w:r w:rsidRPr="001C6806">
        <w:rPr>
          <w:lang w:val="es-ES"/>
        </w:rPr>
        <w:t>, Tecnolo</w:t>
      </w:r>
      <w:r w:rsidR="00B2071E">
        <w:rPr>
          <w:lang w:val="es-ES"/>
        </w:rPr>
        <w:t>gía y Sociedad, o CTS</w:t>
      </w:r>
      <w:r w:rsidR="00043370">
        <w:rPr>
          <w:lang w:val="es-ES"/>
        </w:rPr>
        <w:t xml:space="preserve"> </w:t>
      </w:r>
      <w:r w:rsidR="00B2071E">
        <w:rPr>
          <w:lang w:val="es-ES"/>
        </w:rPr>
        <w:t xml:space="preserve">(Osborne, </w:t>
      </w:r>
      <w:r w:rsidR="00B2071E" w:rsidRPr="00B2071E">
        <w:rPr>
          <w:lang w:val="es-ES"/>
        </w:rPr>
        <w:t xml:space="preserve">Collins, Ratcliffe, </w:t>
      </w:r>
      <w:r w:rsidR="00B2071E">
        <w:rPr>
          <w:lang w:val="es-ES"/>
        </w:rPr>
        <w:t xml:space="preserve">Millar </w:t>
      </w:r>
      <w:r w:rsidR="00B2071E" w:rsidRPr="00B2071E">
        <w:rPr>
          <w:lang w:val="es-ES"/>
        </w:rPr>
        <w:t xml:space="preserve">y Duschl, </w:t>
      </w:r>
      <w:r w:rsidRPr="001C6806">
        <w:rPr>
          <w:lang w:val="es-ES"/>
        </w:rPr>
        <w:t xml:space="preserve">2003, Osborne, 2011, Lederman, y </w:t>
      </w:r>
      <w:r w:rsidRPr="001C6806">
        <w:rPr>
          <w:lang w:val="es-ES"/>
        </w:rPr>
        <w:lastRenderedPageBreak/>
        <w:t>Lederman, 2004, Sadler, 2011, Vá</w:t>
      </w:r>
      <w:r w:rsidR="00B91246">
        <w:rPr>
          <w:lang w:val="es-ES"/>
        </w:rPr>
        <w:t xml:space="preserve">zquez, Manassero y Ortiz, 2013), </w:t>
      </w:r>
      <w:r w:rsidRPr="001C6806">
        <w:rPr>
          <w:lang w:val="es-ES"/>
        </w:rPr>
        <w:t xml:space="preserve">las prácticas de aula de Indagación y Modelización (Windschitl, Thompson y Braaten, 2008, Couso, 2014) o trabajos específico sobre la Naturaleza de la </w:t>
      </w:r>
      <w:r w:rsidR="007843A3">
        <w:rPr>
          <w:lang w:val="es-ES"/>
        </w:rPr>
        <w:t>Ciencia</w:t>
      </w:r>
      <w:r w:rsidRPr="001C6806">
        <w:rPr>
          <w:lang w:val="es-ES"/>
        </w:rPr>
        <w:t xml:space="preserve"> (McComas, Clough y Almazroa, 1998, García-Carmona, 2012).</w:t>
      </w:r>
    </w:p>
    <w:p w14:paraId="22D0CBE8" w14:textId="6CBA94CD" w:rsidR="00A063C2" w:rsidRPr="001C6806" w:rsidRDefault="008A7C65" w:rsidP="007843A3">
      <w:pPr>
        <w:pStyle w:val="TextoNormal"/>
        <w:jc w:val="both"/>
        <w:rPr>
          <w:lang w:val="es-ES"/>
        </w:rPr>
      </w:pPr>
      <w:r>
        <w:rPr>
          <w:lang w:val="es-ES"/>
        </w:rPr>
        <w:t>De la lectura de estos distintos enfoque</w:t>
      </w:r>
      <w:r w:rsidR="00BC4282">
        <w:rPr>
          <w:lang w:val="es-ES"/>
        </w:rPr>
        <w:t>s</w:t>
      </w:r>
      <w:r>
        <w:rPr>
          <w:lang w:val="es-ES"/>
        </w:rPr>
        <w:t>, se visibiliza que e</w:t>
      </w:r>
      <w:r w:rsidRPr="001C6806">
        <w:rPr>
          <w:lang w:val="es-ES"/>
        </w:rPr>
        <w:t xml:space="preserve">xiste </w:t>
      </w:r>
      <w:r w:rsidR="00A063C2" w:rsidRPr="001C6806">
        <w:rPr>
          <w:lang w:val="es-ES"/>
        </w:rPr>
        <w:t>un amplio consenso en la bibliografía en que este despliegue metodológico debe realizarse teniendo en cuenta dos aspectos:</w:t>
      </w:r>
    </w:p>
    <w:p w14:paraId="3F2B54A7" w14:textId="2154B87B" w:rsidR="00A063C2" w:rsidRPr="001C6806" w:rsidRDefault="00E86EEC" w:rsidP="007843A3">
      <w:pPr>
        <w:pStyle w:val="TextoNormal"/>
        <w:jc w:val="both"/>
        <w:rPr>
          <w:lang w:val="es-ES"/>
        </w:rPr>
      </w:pPr>
      <w:r w:rsidRPr="001C6806">
        <w:rPr>
          <w:lang w:val="es-ES"/>
        </w:rPr>
        <w:t xml:space="preserve">1) </w:t>
      </w:r>
      <w:r w:rsidR="00D427E2">
        <w:rPr>
          <w:lang w:val="es-ES"/>
        </w:rPr>
        <w:t>La importanc</w:t>
      </w:r>
      <w:r w:rsidR="00A063C2" w:rsidRPr="001C6806">
        <w:rPr>
          <w:lang w:val="es-ES"/>
        </w:rPr>
        <w:t xml:space="preserve">ia de incorporar los aspectos epistémicos </w:t>
      </w:r>
      <w:r w:rsidR="00B91246">
        <w:rPr>
          <w:lang w:val="es-ES"/>
        </w:rPr>
        <w:t>de forma transversal e imbricada con</w:t>
      </w:r>
      <w:r w:rsidR="00A063C2" w:rsidRPr="001C6806">
        <w:rPr>
          <w:lang w:val="es-ES"/>
        </w:rPr>
        <w:t xml:space="preserve"> el desarrollo de aspectos conceptuales y procedimentales, más que desarrollar unidades específicas sobre aspectos epistémicos, vacías de conceptos (Ferr</w:t>
      </w:r>
      <w:r w:rsidR="00BC4282">
        <w:rPr>
          <w:lang w:val="es-ES"/>
        </w:rPr>
        <w:t>é</w:t>
      </w:r>
      <w:r w:rsidR="00A063C2" w:rsidRPr="001C6806">
        <w:rPr>
          <w:lang w:val="es-ES"/>
        </w:rPr>
        <w:t>s</w:t>
      </w:r>
      <w:r w:rsidR="00BC4282">
        <w:rPr>
          <w:lang w:val="es-ES"/>
        </w:rPr>
        <w:t>-</w:t>
      </w:r>
      <w:r w:rsidR="00A063C2" w:rsidRPr="001C6806">
        <w:rPr>
          <w:lang w:val="es-ES"/>
        </w:rPr>
        <w:t>Gurt, 2017; Jiménez-Liso, López-Gay y Martínez-Chico, 2012)</w:t>
      </w:r>
      <w:r w:rsidR="00D427E2">
        <w:rPr>
          <w:lang w:val="es-ES"/>
        </w:rPr>
        <w:t>.</w:t>
      </w:r>
    </w:p>
    <w:p w14:paraId="7C5B6E8B" w14:textId="2C5DD2BD" w:rsidR="00A063C2" w:rsidRPr="001C6806" w:rsidRDefault="00E86EEC" w:rsidP="007843A3">
      <w:pPr>
        <w:pStyle w:val="TextoNormal"/>
        <w:jc w:val="both"/>
        <w:rPr>
          <w:lang w:val="es-ES"/>
        </w:rPr>
      </w:pPr>
      <w:r w:rsidRPr="001C6806">
        <w:rPr>
          <w:lang w:val="es-ES"/>
        </w:rPr>
        <w:t xml:space="preserve">2) </w:t>
      </w:r>
      <w:r w:rsidR="00A063C2" w:rsidRPr="001C6806">
        <w:rPr>
          <w:lang w:val="es-ES"/>
        </w:rPr>
        <w:t>La necesidad de incorporar la metareflexión (Flick y Lederman, 2004,</w:t>
      </w:r>
      <w:r w:rsidR="00043370">
        <w:rPr>
          <w:lang w:val="es-ES"/>
        </w:rPr>
        <w:t xml:space="preserve"> </w:t>
      </w:r>
      <w:r w:rsidR="00A063C2" w:rsidRPr="001C6806">
        <w:rPr>
          <w:lang w:val="es-ES"/>
        </w:rPr>
        <w:t xml:space="preserve">Schwartz y Lederman, 2002) en el desarrollo de aspectos epistémicos de la </w:t>
      </w:r>
      <w:r w:rsidR="007843A3">
        <w:rPr>
          <w:lang w:val="es-ES"/>
        </w:rPr>
        <w:t>ciencia</w:t>
      </w:r>
      <w:r w:rsidR="00A063C2" w:rsidRPr="001C6806">
        <w:rPr>
          <w:lang w:val="es-ES"/>
        </w:rPr>
        <w:t xml:space="preserve">, </w:t>
      </w:r>
      <w:r w:rsidR="00D427E2">
        <w:rPr>
          <w:lang w:val="es-ES"/>
        </w:rPr>
        <w:t xml:space="preserve">y </w:t>
      </w:r>
      <w:r w:rsidR="00A063C2" w:rsidRPr="001C6806">
        <w:rPr>
          <w:lang w:val="es-ES"/>
        </w:rPr>
        <w:t>en particular, de la cognición epistémica (“</w:t>
      </w:r>
      <w:r w:rsidR="00A063C2" w:rsidRPr="00B2071E">
        <w:rPr>
          <w:i/>
          <w:lang w:val="es-ES"/>
        </w:rPr>
        <w:t>Conocer cómo sé</w:t>
      </w:r>
      <w:r w:rsidR="00D427E2">
        <w:rPr>
          <w:lang w:val="es-ES"/>
        </w:rPr>
        <w:t>”), que incluye también los valores personales, intereses, emociones, etc.</w:t>
      </w:r>
      <w:r w:rsidR="00A063C2" w:rsidRPr="001C6806">
        <w:rPr>
          <w:lang w:val="es-ES"/>
        </w:rPr>
        <w:t>(Chinn, Buckland y</w:t>
      </w:r>
      <w:r w:rsidR="00043370">
        <w:rPr>
          <w:lang w:val="es-ES"/>
        </w:rPr>
        <w:t xml:space="preserve"> </w:t>
      </w:r>
      <w:r w:rsidR="00A063C2" w:rsidRPr="001C6806">
        <w:rPr>
          <w:lang w:val="es-ES"/>
        </w:rPr>
        <w:t xml:space="preserve">Samarapungavan, 2011). </w:t>
      </w:r>
    </w:p>
    <w:p w14:paraId="5AACCF91" w14:textId="77777777" w:rsidR="00A063C2" w:rsidRDefault="00A063C2" w:rsidP="007843A3">
      <w:pPr>
        <w:pStyle w:val="TextoNormal"/>
        <w:jc w:val="both"/>
        <w:rPr>
          <w:lang w:val="es-ES"/>
        </w:rPr>
      </w:pPr>
      <w:r w:rsidRPr="001C6806">
        <w:rPr>
          <w:lang w:val="es-ES"/>
        </w:rPr>
        <w:t xml:space="preserve">Esto sugiere que lo razonable y práctico, más que construir actividades para trabajar la dimensión epistémica, sería identificar vías para “epistemizar” las prácticas de enseñanza, transformándolas o enriqueciéndolas mediante actuaciones epistémicas y preguntas metareflexivas. A continuación identificamos ejes de actuación para esa “epistemización” y proponemos y ejemplificamos estrategias de diseño útiles para desplegarlos. </w:t>
      </w:r>
    </w:p>
    <w:p w14:paraId="6E67D503" w14:textId="77777777" w:rsidR="00A051FE" w:rsidRDefault="00A051FE" w:rsidP="00A063C2">
      <w:pPr>
        <w:pStyle w:val="TextoNormal"/>
        <w:rPr>
          <w:lang w:val="es-ES"/>
        </w:rPr>
      </w:pPr>
    </w:p>
    <w:p w14:paraId="5393BD4F" w14:textId="1EE208AA" w:rsidR="00E86EEC" w:rsidRPr="001C6806" w:rsidRDefault="00D427E2" w:rsidP="00C2726E">
      <w:pPr>
        <w:pStyle w:val="Titulodelapartado"/>
        <w:numPr>
          <w:ilvl w:val="1"/>
          <w:numId w:val="7"/>
        </w:numPr>
        <w:rPr>
          <w:lang w:val="es-ES"/>
        </w:rPr>
      </w:pPr>
      <w:r>
        <w:rPr>
          <w:lang w:val="es-ES"/>
        </w:rPr>
        <w:t xml:space="preserve"> </w:t>
      </w:r>
      <w:r w:rsidR="00E86EEC" w:rsidRPr="001C6806">
        <w:rPr>
          <w:lang w:val="es-ES"/>
        </w:rPr>
        <w:t>Ejes de actuación para la dimensión epistémica</w:t>
      </w:r>
    </w:p>
    <w:p w14:paraId="65D26646" w14:textId="77777777" w:rsidR="00E86EEC" w:rsidRPr="001C6806" w:rsidRDefault="00E86EEC" w:rsidP="00E86EEC">
      <w:pPr>
        <w:pStyle w:val="TextoNormal"/>
        <w:rPr>
          <w:lang w:val="es-ES"/>
        </w:rPr>
      </w:pPr>
    </w:p>
    <w:p w14:paraId="778C1DD7" w14:textId="03018662" w:rsidR="00E86EEC" w:rsidRPr="001C6806" w:rsidRDefault="00E86EEC" w:rsidP="007843A3">
      <w:pPr>
        <w:pStyle w:val="TextoNormal"/>
        <w:jc w:val="both"/>
        <w:rPr>
          <w:lang w:val="es-ES"/>
        </w:rPr>
      </w:pPr>
      <w:r w:rsidRPr="001C6806">
        <w:rPr>
          <w:lang w:val="es-ES"/>
        </w:rPr>
        <w:t xml:space="preserve">El despliegue de la dimensión epistémica que proponen los enfoques metodológicos mencionados en el apartado anterior implica siempre una componente evaluadora de lo que se afirma. Esa mirada evaluadora puede dirigirse a sus fundamentos, </w:t>
      </w:r>
      <w:r w:rsidR="008A7C65">
        <w:rPr>
          <w:lang w:val="es-ES"/>
        </w:rPr>
        <w:t>a c</w:t>
      </w:r>
      <w:r w:rsidR="00537F68">
        <w:rPr>
          <w:lang w:val="es-ES"/>
        </w:rPr>
        <w:t>ó</w:t>
      </w:r>
      <w:r w:rsidR="008A7C65">
        <w:rPr>
          <w:lang w:val="es-ES"/>
        </w:rPr>
        <w:t>mo se ha validado el conocim</w:t>
      </w:r>
      <w:r w:rsidR="00537F68">
        <w:rPr>
          <w:lang w:val="es-ES"/>
        </w:rPr>
        <w:t>i</w:t>
      </w:r>
      <w:r w:rsidR="008A7C65">
        <w:rPr>
          <w:lang w:val="es-ES"/>
        </w:rPr>
        <w:t>ento científico</w:t>
      </w:r>
      <w:r w:rsidR="00537F68">
        <w:rPr>
          <w:lang w:val="es-ES"/>
        </w:rPr>
        <w:t xml:space="preserve"> (uso de pruebas, naturaleza de la ciencia)</w:t>
      </w:r>
      <w:r w:rsidRPr="001C6806">
        <w:rPr>
          <w:lang w:val="es-ES"/>
        </w:rPr>
        <w:t xml:space="preserve">, pero también a identificar y ponderar intereses, valores y estructuras de poder tanto desde </w:t>
      </w:r>
      <w:r w:rsidR="00537F68">
        <w:rPr>
          <w:lang w:val="es-ES"/>
        </w:rPr>
        <w:t>el ámbito</w:t>
      </w:r>
      <w:r w:rsidRPr="001C6806">
        <w:rPr>
          <w:lang w:val="es-ES"/>
        </w:rPr>
        <w:t xml:space="preserve"> colectivo</w:t>
      </w:r>
      <w:r w:rsidR="008A7C65">
        <w:rPr>
          <w:lang w:val="es-ES"/>
        </w:rPr>
        <w:t xml:space="preserve"> (</w:t>
      </w:r>
      <w:r w:rsidRPr="001C6806">
        <w:rPr>
          <w:lang w:val="es-ES"/>
        </w:rPr>
        <w:t>comunidad, cultura</w:t>
      </w:r>
      <w:r w:rsidR="008A7C65">
        <w:rPr>
          <w:lang w:val="es-ES"/>
        </w:rPr>
        <w:t xml:space="preserve">, etc.) </w:t>
      </w:r>
      <w:r w:rsidRPr="001C6806">
        <w:rPr>
          <w:lang w:val="es-ES"/>
        </w:rPr>
        <w:t xml:space="preserve">como desde </w:t>
      </w:r>
      <w:r w:rsidR="00537F68">
        <w:rPr>
          <w:lang w:val="es-ES"/>
        </w:rPr>
        <w:t>el ámbito</w:t>
      </w:r>
      <w:r w:rsidRPr="001C6806">
        <w:rPr>
          <w:lang w:val="es-ES"/>
        </w:rPr>
        <w:t xml:space="preserve"> de los sesgos personales</w:t>
      </w:r>
      <w:r w:rsidR="00537F68">
        <w:rPr>
          <w:lang w:val="es-ES"/>
        </w:rPr>
        <w:t xml:space="preserve"> (cognición epistémica)</w:t>
      </w:r>
      <w:r w:rsidR="008A7C65">
        <w:rPr>
          <w:lang w:val="es-ES"/>
        </w:rPr>
        <w:t>.</w:t>
      </w:r>
      <w:r w:rsidRPr="001C6806">
        <w:rPr>
          <w:lang w:val="es-ES"/>
        </w:rPr>
        <w:t xml:space="preserve"> Este último es un aspecto de especial trascendencia, porque se ha descrito que muchas personas que justifican su posición en controversias</w:t>
      </w:r>
      <w:r w:rsidR="008A7C65">
        <w:rPr>
          <w:lang w:val="es-ES"/>
        </w:rPr>
        <w:t xml:space="preserve"> científica</w:t>
      </w:r>
      <w:r w:rsidR="000D33A0">
        <w:rPr>
          <w:lang w:val="es-ES"/>
        </w:rPr>
        <w:t>s</w:t>
      </w:r>
      <w:r w:rsidRPr="001C6806">
        <w:rPr>
          <w:lang w:val="es-ES"/>
        </w:rPr>
        <w:t xml:space="preserve"> o pseudo</w:t>
      </w:r>
      <w:r w:rsidR="007843A3">
        <w:rPr>
          <w:lang w:val="es-ES"/>
        </w:rPr>
        <w:t>ciencia</w:t>
      </w:r>
      <w:r w:rsidRPr="001C6806">
        <w:rPr>
          <w:lang w:val="es-ES"/>
        </w:rPr>
        <w:t>s en base a propias experiencias suelen ser impermeables a pruebas científicas (Albe, 2008), por lo que ayudar al alumn</w:t>
      </w:r>
      <w:r w:rsidR="00537F68">
        <w:rPr>
          <w:lang w:val="es-ES"/>
        </w:rPr>
        <w:t xml:space="preserve">ado a identificar los aspectos </w:t>
      </w:r>
      <w:r w:rsidRPr="001C6806">
        <w:rPr>
          <w:lang w:val="es-ES"/>
        </w:rPr>
        <w:t>(tradiciones, emociones, valores…) que influyen en esos posicionamientos es también parte fundamental del despliegue de la dimensión epistémica. Hemos considerado útil</w:t>
      </w:r>
      <w:r w:rsidR="000D33A0">
        <w:rPr>
          <w:lang w:val="es-ES"/>
        </w:rPr>
        <w:t xml:space="preserve"> para el análisis y </w:t>
      </w:r>
      <w:r w:rsidR="006057C3">
        <w:rPr>
          <w:lang w:val="es-ES"/>
        </w:rPr>
        <w:t xml:space="preserve">apoyo en el </w:t>
      </w:r>
      <w:r w:rsidR="000D33A0">
        <w:rPr>
          <w:lang w:val="es-ES"/>
        </w:rPr>
        <w:t>diseño de actividades de aula</w:t>
      </w:r>
      <w:r w:rsidRPr="001C6806">
        <w:rPr>
          <w:lang w:val="es-ES"/>
        </w:rPr>
        <w:t xml:space="preserve"> estructurar esas miradas en tr</w:t>
      </w:r>
      <w:r w:rsidR="000D33A0">
        <w:rPr>
          <w:lang w:val="es-ES"/>
        </w:rPr>
        <w:t>es ejes de actuación, que presentamos a continuación</w:t>
      </w:r>
      <w:r w:rsidRPr="001C6806">
        <w:rPr>
          <w:lang w:val="es-ES"/>
        </w:rPr>
        <w:t>.</w:t>
      </w:r>
    </w:p>
    <w:p w14:paraId="5561C5E1" w14:textId="77777777" w:rsidR="00E86EEC" w:rsidRPr="001C6806" w:rsidRDefault="00E86EEC" w:rsidP="007843A3">
      <w:pPr>
        <w:pStyle w:val="TextoNormal"/>
        <w:jc w:val="both"/>
        <w:rPr>
          <w:lang w:val="es-ES"/>
        </w:rPr>
      </w:pPr>
    </w:p>
    <w:p w14:paraId="22F11D7C" w14:textId="77777777" w:rsidR="00E86EEC" w:rsidRPr="001C6806" w:rsidRDefault="00E86EEC" w:rsidP="007843A3">
      <w:pPr>
        <w:pStyle w:val="TextoNormal"/>
        <w:jc w:val="both"/>
        <w:rPr>
          <w:lang w:val="es-ES"/>
        </w:rPr>
      </w:pPr>
      <w:r w:rsidRPr="001C6806">
        <w:rPr>
          <w:i/>
          <w:lang w:val="es-ES"/>
        </w:rPr>
        <w:t>1.Las destrezas de uso de pruebas y argumentación</w:t>
      </w:r>
      <w:r w:rsidRPr="001C6806">
        <w:rPr>
          <w:lang w:val="es-ES"/>
        </w:rPr>
        <w:t xml:space="preserve"> </w:t>
      </w:r>
    </w:p>
    <w:p w14:paraId="1704E23C" w14:textId="77777777" w:rsidR="00E86EEC" w:rsidRPr="001C6806" w:rsidRDefault="00E86EEC" w:rsidP="007843A3">
      <w:pPr>
        <w:pStyle w:val="TextoNormal"/>
        <w:jc w:val="both"/>
        <w:rPr>
          <w:lang w:val="es-ES"/>
        </w:rPr>
      </w:pPr>
    </w:p>
    <w:p w14:paraId="3167D683" w14:textId="77777777" w:rsidR="00E86EEC" w:rsidRPr="001C6806" w:rsidRDefault="00E86EEC" w:rsidP="007843A3">
      <w:pPr>
        <w:pStyle w:val="TextoNormal"/>
        <w:jc w:val="both"/>
        <w:rPr>
          <w:lang w:val="es-ES"/>
        </w:rPr>
      </w:pPr>
      <w:r w:rsidRPr="001C6806">
        <w:rPr>
          <w:lang w:val="es-ES"/>
        </w:rPr>
        <w:t>Este eje incluye la capacidad de construir y analizar argumentaciones y usar pruebas (Bravo, Puig y Jiménez-Aleixandre, 2009, Jiménez-Aleixandre, 2010) y analizar críticamente proposiciones (Marbà, Márquez y Sanmartí, 2009) para tomar decisiones sobre la certidumbre de afirmaciones o la oportunidad de determinadas decisiones.</w:t>
      </w:r>
    </w:p>
    <w:p w14:paraId="779D3AB3" w14:textId="77777777" w:rsidR="00E86EEC" w:rsidRPr="001C6806" w:rsidRDefault="00E86EEC" w:rsidP="007843A3">
      <w:pPr>
        <w:pStyle w:val="TextoNormal"/>
        <w:jc w:val="both"/>
        <w:rPr>
          <w:lang w:val="es-ES"/>
        </w:rPr>
      </w:pPr>
    </w:p>
    <w:p w14:paraId="65E1E06F" w14:textId="58885543" w:rsidR="00E86EEC" w:rsidRPr="001C6806" w:rsidRDefault="00E86EEC" w:rsidP="007843A3">
      <w:pPr>
        <w:pStyle w:val="Citatextual"/>
        <w:jc w:val="both"/>
        <w:rPr>
          <w:color w:val="auto"/>
          <w:lang w:val="es-ES"/>
        </w:rPr>
      </w:pPr>
      <w:r w:rsidRPr="001C6806">
        <w:rPr>
          <w:color w:val="auto"/>
          <w:lang w:val="es-ES"/>
        </w:rPr>
        <w:t>Por ejemplo, ante una afirmación sobre las propiedades de un alimento, la capacidad de saber identificar qué datos son pertinentes para evaluar esa afirmación (contenido nutricional, biodisponibilidad,…) y distinguirlos de opiniones (“a mí me ha funcionado”, “es nuevo”, “opino que sí”) para</w:t>
      </w:r>
      <w:r w:rsidR="00043370">
        <w:rPr>
          <w:color w:val="auto"/>
          <w:lang w:val="es-ES"/>
        </w:rPr>
        <w:t xml:space="preserve"> </w:t>
      </w:r>
      <w:r w:rsidRPr="001C6806">
        <w:rPr>
          <w:color w:val="auto"/>
          <w:lang w:val="es-ES"/>
        </w:rPr>
        <w:t xml:space="preserve">emitir un juicio contrastado </w:t>
      </w:r>
      <w:r w:rsidR="00537F68">
        <w:rPr>
          <w:color w:val="auto"/>
          <w:lang w:val="es-ES"/>
        </w:rPr>
        <w:t>sobre la certidumbre (</w:t>
      </w:r>
      <w:r w:rsidRPr="001C6806">
        <w:rPr>
          <w:color w:val="auto"/>
          <w:lang w:val="es-ES"/>
        </w:rPr>
        <w:t>sobre si el alimento reúne o no esas propiedades</w:t>
      </w:r>
      <w:r w:rsidR="00537F68">
        <w:rPr>
          <w:color w:val="auto"/>
          <w:lang w:val="es-ES"/>
        </w:rPr>
        <w:t>)</w:t>
      </w:r>
      <w:r w:rsidRPr="001C6806">
        <w:rPr>
          <w:color w:val="auto"/>
          <w:lang w:val="es-ES"/>
        </w:rPr>
        <w:t xml:space="preserve"> o sobre </w:t>
      </w:r>
      <w:r w:rsidR="00537F68">
        <w:rPr>
          <w:color w:val="auto"/>
          <w:lang w:val="es-ES"/>
        </w:rPr>
        <w:t>la conveniencia (</w:t>
      </w:r>
      <w:r w:rsidRPr="001C6806">
        <w:rPr>
          <w:color w:val="auto"/>
          <w:lang w:val="es-ES"/>
        </w:rPr>
        <w:t>si conviene o no adquirirlo</w:t>
      </w:r>
      <w:r w:rsidR="00537F68">
        <w:rPr>
          <w:color w:val="auto"/>
          <w:lang w:val="es-ES"/>
        </w:rPr>
        <w:t>)</w:t>
      </w:r>
      <w:r w:rsidRPr="001C6806">
        <w:rPr>
          <w:color w:val="auto"/>
          <w:lang w:val="es-ES"/>
        </w:rPr>
        <w:t>.</w:t>
      </w:r>
    </w:p>
    <w:p w14:paraId="256BE276" w14:textId="7D721323" w:rsidR="00DC28E1" w:rsidRDefault="00DC28E1">
      <w:pPr>
        <w:rPr>
          <w:lang w:val="es-ES"/>
        </w:rPr>
      </w:pPr>
      <w:r>
        <w:rPr>
          <w:lang w:val="es-ES"/>
        </w:rPr>
        <w:br w:type="page"/>
      </w:r>
    </w:p>
    <w:p w14:paraId="1C551416" w14:textId="77777777" w:rsidR="00E86EEC" w:rsidRPr="001C6806" w:rsidRDefault="00E86EEC" w:rsidP="007843A3">
      <w:pPr>
        <w:pStyle w:val="TextoNormal"/>
        <w:jc w:val="both"/>
        <w:rPr>
          <w:lang w:val="es-ES"/>
        </w:rPr>
      </w:pPr>
    </w:p>
    <w:p w14:paraId="36DB7E11" w14:textId="075EB4B0" w:rsidR="00E86EEC" w:rsidRPr="001C6806" w:rsidRDefault="00537F68" w:rsidP="00537F68">
      <w:pPr>
        <w:pStyle w:val="TextoNormal"/>
        <w:ind w:left="720" w:firstLine="0"/>
        <w:jc w:val="both"/>
        <w:rPr>
          <w:i/>
          <w:lang w:val="es-ES"/>
        </w:rPr>
      </w:pPr>
      <w:r>
        <w:rPr>
          <w:i/>
          <w:lang w:val="es-ES"/>
        </w:rPr>
        <w:t xml:space="preserve">2. </w:t>
      </w:r>
      <w:r w:rsidR="00E86EEC" w:rsidRPr="001C6806">
        <w:rPr>
          <w:i/>
          <w:lang w:val="es-ES"/>
        </w:rPr>
        <w:t xml:space="preserve">El conocimiento de la Naturaleza de la </w:t>
      </w:r>
      <w:r w:rsidR="007843A3">
        <w:rPr>
          <w:i/>
          <w:lang w:val="es-ES"/>
        </w:rPr>
        <w:t>Ciencia</w:t>
      </w:r>
      <w:r w:rsidR="00E86EEC" w:rsidRPr="001C6806">
        <w:rPr>
          <w:i/>
          <w:lang w:val="es-ES"/>
        </w:rPr>
        <w:t xml:space="preserve"> (“¿Cómo sabe la </w:t>
      </w:r>
      <w:r w:rsidR="007843A3">
        <w:rPr>
          <w:i/>
          <w:lang w:val="es-ES"/>
        </w:rPr>
        <w:t>Ciencia</w:t>
      </w:r>
      <w:r w:rsidR="00E86EEC" w:rsidRPr="001C6806">
        <w:rPr>
          <w:i/>
          <w:lang w:val="es-ES"/>
        </w:rPr>
        <w:t>”?).</w:t>
      </w:r>
    </w:p>
    <w:p w14:paraId="1D802AAB" w14:textId="77777777" w:rsidR="00E86EEC" w:rsidRPr="001C6806" w:rsidRDefault="00E86EEC" w:rsidP="007843A3">
      <w:pPr>
        <w:pStyle w:val="TextoNormal"/>
        <w:jc w:val="both"/>
        <w:rPr>
          <w:i/>
          <w:lang w:val="es-ES"/>
        </w:rPr>
      </w:pPr>
    </w:p>
    <w:p w14:paraId="076C5EF6" w14:textId="6854A61B" w:rsidR="008A7C65" w:rsidRDefault="00E86EEC" w:rsidP="007843A3">
      <w:pPr>
        <w:pStyle w:val="TextoNormal"/>
        <w:jc w:val="both"/>
        <w:rPr>
          <w:lang w:val="es-ES"/>
        </w:rPr>
      </w:pPr>
      <w:r w:rsidRPr="001C6806">
        <w:rPr>
          <w:lang w:val="es-ES"/>
        </w:rPr>
        <w:t xml:space="preserve"> Por Naturaleza de la </w:t>
      </w:r>
      <w:r w:rsidR="007843A3">
        <w:rPr>
          <w:lang w:val="es-ES"/>
        </w:rPr>
        <w:t>Ciencia</w:t>
      </w:r>
      <w:r w:rsidRPr="001C6806">
        <w:rPr>
          <w:lang w:val="es-ES"/>
        </w:rPr>
        <w:t xml:space="preserve"> (NOS en sus siglas en inglés por Nature of Science)</w:t>
      </w:r>
      <w:r w:rsidR="00043370">
        <w:rPr>
          <w:lang w:val="es-ES"/>
        </w:rPr>
        <w:t xml:space="preserve"> </w:t>
      </w:r>
      <w:r w:rsidRPr="001C6806">
        <w:rPr>
          <w:lang w:val="es-ES"/>
        </w:rPr>
        <w:t xml:space="preserve">se entiende en didáctica la definición de la </w:t>
      </w:r>
      <w:r w:rsidR="007843A3">
        <w:rPr>
          <w:lang w:val="es-ES"/>
        </w:rPr>
        <w:t>ciencia</w:t>
      </w:r>
      <w:r w:rsidRPr="001C6806">
        <w:rPr>
          <w:lang w:val="es-ES"/>
        </w:rPr>
        <w:t xml:space="preserve"> como modo de conocer, o los valores y creencias inherentes al conocimiento científico o su desarrollo (</w:t>
      </w:r>
      <w:r w:rsidR="008A7C65" w:rsidRPr="001C6806">
        <w:rPr>
          <w:lang w:val="es-ES"/>
        </w:rPr>
        <w:t>Lederman, 2007</w:t>
      </w:r>
      <w:r w:rsidR="008A7C65">
        <w:rPr>
          <w:lang w:val="es-ES"/>
        </w:rPr>
        <w:t xml:space="preserve">; </w:t>
      </w:r>
      <w:r w:rsidRPr="001C6806">
        <w:rPr>
          <w:lang w:val="es-ES"/>
        </w:rPr>
        <w:t>Michel y Neumann, 2016)</w:t>
      </w:r>
      <w:r w:rsidR="008A7C65">
        <w:rPr>
          <w:lang w:val="es-ES"/>
        </w:rPr>
        <w:t>, es decir l</w:t>
      </w:r>
      <w:r w:rsidRPr="001C6806">
        <w:rPr>
          <w:lang w:val="es-ES"/>
        </w:rPr>
        <w:t xml:space="preserve">as características epistémicas que legitiman la </w:t>
      </w:r>
      <w:r w:rsidR="00673181">
        <w:rPr>
          <w:lang w:val="es-ES"/>
        </w:rPr>
        <w:t>c</w:t>
      </w:r>
      <w:r w:rsidR="007843A3">
        <w:rPr>
          <w:lang w:val="es-ES"/>
        </w:rPr>
        <w:t>iencia</w:t>
      </w:r>
      <w:r w:rsidRPr="001C6806">
        <w:rPr>
          <w:lang w:val="es-ES"/>
        </w:rPr>
        <w:t xml:space="preserve"> como práctica de conocimiento. Entre muchos de los aspectos en los que se puede focalizar cuando se quiere incorporar la NOS en las clases de </w:t>
      </w:r>
      <w:r w:rsidR="007843A3">
        <w:rPr>
          <w:lang w:val="es-ES"/>
        </w:rPr>
        <w:t>ciencia</w:t>
      </w:r>
      <w:r w:rsidRPr="001C6806">
        <w:rPr>
          <w:lang w:val="es-ES"/>
        </w:rPr>
        <w:t xml:space="preserve">, proponemos hacer hincapié en los aspectos de la </w:t>
      </w:r>
      <w:r w:rsidR="007843A3">
        <w:rPr>
          <w:lang w:val="es-ES"/>
        </w:rPr>
        <w:t>ciencia</w:t>
      </w:r>
      <w:r w:rsidRPr="001C6806">
        <w:rPr>
          <w:lang w:val="es-ES"/>
        </w:rPr>
        <w:t xml:space="preserve"> como actividad humana modelizadora</w:t>
      </w:r>
      <w:r w:rsidR="008A7C65">
        <w:rPr>
          <w:lang w:val="es-ES"/>
        </w:rPr>
        <w:t xml:space="preserve">. Desde esta perspectiva </w:t>
      </w:r>
      <w:r w:rsidR="008A7C65" w:rsidRPr="001C6806">
        <w:rPr>
          <w:lang w:val="es-ES"/>
        </w:rPr>
        <w:t xml:space="preserve">la </w:t>
      </w:r>
      <w:r w:rsidR="007843A3">
        <w:rPr>
          <w:lang w:val="es-ES"/>
        </w:rPr>
        <w:t>ciencia</w:t>
      </w:r>
      <w:r w:rsidR="008A7C65" w:rsidRPr="001C6806">
        <w:rPr>
          <w:lang w:val="es-ES"/>
        </w:rPr>
        <w:t xml:space="preserve"> es una</w:t>
      </w:r>
      <w:r w:rsidR="00043370">
        <w:rPr>
          <w:lang w:val="es-ES"/>
        </w:rPr>
        <w:t xml:space="preserve"> </w:t>
      </w:r>
      <w:r w:rsidR="008A7C65" w:rsidRPr="001C6806">
        <w:rPr>
          <w:lang w:val="es-ES"/>
        </w:rPr>
        <w:t xml:space="preserve">actividad humana que construye modelos </w:t>
      </w:r>
      <w:r w:rsidR="00673181">
        <w:rPr>
          <w:lang w:val="es-ES"/>
        </w:rPr>
        <w:t>-</w:t>
      </w:r>
      <w:r w:rsidR="00043370">
        <w:rPr>
          <w:lang w:val="es-ES"/>
        </w:rPr>
        <w:t xml:space="preserve"> </w:t>
      </w:r>
      <w:r w:rsidR="008A7C65" w:rsidRPr="001C6806">
        <w:rPr>
          <w:lang w:val="es-ES"/>
        </w:rPr>
        <w:t>productos sociales y culturales</w:t>
      </w:r>
      <w:r w:rsidR="00673181">
        <w:rPr>
          <w:lang w:val="es-ES"/>
        </w:rPr>
        <w:t>-</w:t>
      </w:r>
      <w:r w:rsidR="008A7C65" w:rsidRPr="001C6806">
        <w:rPr>
          <w:lang w:val="es-ES"/>
        </w:rPr>
        <w:t xml:space="preserve"> por lo que está sujeta a presiones</w:t>
      </w:r>
      <w:r w:rsidR="00043370">
        <w:rPr>
          <w:lang w:val="es-ES"/>
        </w:rPr>
        <w:t xml:space="preserve"> </w:t>
      </w:r>
      <w:r w:rsidR="008A7C65" w:rsidRPr="001C6806">
        <w:rPr>
          <w:lang w:val="es-ES"/>
        </w:rPr>
        <w:t>(por ejemplo, priorizar lín</w:t>
      </w:r>
      <w:r w:rsidR="00673181">
        <w:rPr>
          <w:lang w:val="es-ES"/>
        </w:rPr>
        <w:t>e</w:t>
      </w:r>
      <w:r w:rsidR="008A7C65" w:rsidRPr="001C6806">
        <w:rPr>
          <w:lang w:val="es-ES"/>
        </w:rPr>
        <w:t>as de investigación determinadas en función del rendimiento económico previsto</w:t>
      </w:r>
      <w:r w:rsidR="00DC28E1">
        <w:rPr>
          <w:lang w:val="es-ES"/>
        </w:rPr>
        <w:t>, o la expectativa de obtención resultados</w:t>
      </w:r>
      <w:r w:rsidR="008A7C65" w:rsidRPr="001C6806">
        <w:rPr>
          <w:lang w:val="es-ES"/>
        </w:rPr>
        <w:t>) y sesgos (muchas enfermedades exclusivas de las mujeres no se han identificado como tales, ya que se consideraban como problemas psicológicos -por ejemplo la fibromialgia- o consecuencias irreparables -las p</w:t>
      </w:r>
      <w:r w:rsidR="008A7C65">
        <w:rPr>
          <w:lang w:val="es-ES"/>
        </w:rPr>
        <w:t>é</w:t>
      </w:r>
      <w:r w:rsidR="008A7C65" w:rsidRPr="001C6806">
        <w:rPr>
          <w:lang w:val="es-ES"/>
        </w:rPr>
        <w:t>rdidas de orina en las mujeres mayores consecuencias de una nula recuperación del suelo pélvico después de los partos-).</w:t>
      </w:r>
      <w:r w:rsidR="008A7C65">
        <w:rPr>
          <w:lang w:val="es-ES"/>
        </w:rPr>
        <w:t xml:space="preserve"> La </w:t>
      </w:r>
      <w:r w:rsidR="007843A3">
        <w:rPr>
          <w:lang w:val="es-ES"/>
        </w:rPr>
        <w:t>ciencia</w:t>
      </w:r>
      <w:r w:rsidR="008A7C65">
        <w:rPr>
          <w:lang w:val="es-ES"/>
        </w:rPr>
        <w:t xml:space="preserve"> como actividad humana modelizadora se caracteriza por:</w:t>
      </w:r>
    </w:p>
    <w:p w14:paraId="19C9272B" w14:textId="23BAB312" w:rsidR="008A7C65" w:rsidRDefault="00E86EEC" w:rsidP="007843A3">
      <w:pPr>
        <w:pStyle w:val="TextoNormal"/>
        <w:jc w:val="both"/>
        <w:rPr>
          <w:lang w:val="es-ES"/>
        </w:rPr>
      </w:pPr>
      <w:r w:rsidRPr="001C6806">
        <w:rPr>
          <w:lang w:val="es-ES"/>
        </w:rPr>
        <w:t xml:space="preserve">1) </w:t>
      </w:r>
      <w:r w:rsidR="00D4123A">
        <w:rPr>
          <w:lang w:val="es-ES"/>
        </w:rPr>
        <w:t>Basarse</w:t>
      </w:r>
      <w:r w:rsidRPr="001C6806">
        <w:rPr>
          <w:lang w:val="es-ES"/>
        </w:rPr>
        <w:t xml:space="preserve"> en la elaboración de modelos que “sirven” para hacer predicciones e interpretar los fenómenos</w:t>
      </w:r>
      <w:r w:rsidR="008A7C65" w:rsidRPr="008A7C65">
        <w:rPr>
          <w:lang w:val="es-ES"/>
        </w:rPr>
        <w:t xml:space="preserve"> </w:t>
      </w:r>
      <w:r w:rsidR="008A7C65" w:rsidRPr="001C6806">
        <w:rPr>
          <w:lang w:val="es-ES"/>
        </w:rPr>
        <w:t xml:space="preserve">(Giere, </w:t>
      </w:r>
      <w:r w:rsidR="008A7C65">
        <w:rPr>
          <w:lang w:val="es-ES"/>
        </w:rPr>
        <w:t>2001). Por ejemplo, la teoría cinético-corpusc</w:t>
      </w:r>
      <w:r w:rsidR="00D427E2">
        <w:rPr>
          <w:lang w:val="es-ES"/>
        </w:rPr>
        <w:t>u</w:t>
      </w:r>
      <w:r w:rsidR="008A7C65">
        <w:rPr>
          <w:lang w:val="es-ES"/>
        </w:rPr>
        <w:t>lar es un modelo que nos permite interpretar que esta pasando, en términos de materia y energía, cuando el agua hierve y que pasará cuando se enfr</w:t>
      </w:r>
      <w:r w:rsidR="00D427E2">
        <w:rPr>
          <w:lang w:val="es-ES"/>
        </w:rPr>
        <w:t>í</w:t>
      </w:r>
      <w:r w:rsidR="008A7C65">
        <w:rPr>
          <w:lang w:val="es-ES"/>
        </w:rPr>
        <w:t>e.</w:t>
      </w:r>
      <w:r w:rsidRPr="001C6806">
        <w:rPr>
          <w:lang w:val="es-ES"/>
        </w:rPr>
        <w:t xml:space="preserve"> </w:t>
      </w:r>
    </w:p>
    <w:p w14:paraId="6C8729F7" w14:textId="2A492DE6" w:rsidR="008A7C65" w:rsidRDefault="00E86EEC" w:rsidP="007843A3">
      <w:pPr>
        <w:pStyle w:val="TextoNormal"/>
        <w:jc w:val="both"/>
        <w:rPr>
          <w:lang w:val="es-ES"/>
        </w:rPr>
      </w:pPr>
      <w:r w:rsidRPr="001C6806">
        <w:rPr>
          <w:lang w:val="es-ES"/>
        </w:rPr>
        <w:t xml:space="preserve">2) </w:t>
      </w:r>
      <w:r w:rsidR="008A7C65">
        <w:rPr>
          <w:lang w:val="es-ES"/>
        </w:rPr>
        <w:t>L</w:t>
      </w:r>
      <w:r w:rsidRPr="001C6806">
        <w:rPr>
          <w:lang w:val="es-ES"/>
        </w:rPr>
        <w:t>os modelos científicos son provisionales. La provisionalidad se basa en que cuando aparecen nuevos datos (porque la técnica ha evolucionado o porqué ha cambiado la manera de “mirar”</w:t>
      </w:r>
      <w:r w:rsidR="008A7C65">
        <w:rPr>
          <w:lang w:val="es-ES"/>
        </w:rPr>
        <w:t>)</w:t>
      </w:r>
      <w:r w:rsidRPr="001C6806">
        <w:rPr>
          <w:lang w:val="es-ES"/>
        </w:rPr>
        <w:t xml:space="preserve"> los modelos evolucionan,</w:t>
      </w:r>
      <w:r w:rsidR="00043370">
        <w:rPr>
          <w:lang w:val="es-ES"/>
        </w:rPr>
        <w:t xml:space="preserve"> </w:t>
      </w:r>
      <w:r w:rsidRPr="001C6806">
        <w:rPr>
          <w:lang w:val="es-ES"/>
        </w:rPr>
        <w:t>son cada vez más complejos para capturar mejor la realidad (Adúriz- Bravo,</w:t>
      </w:r>
      <w:r w:rsidR="00043370">
        <w:rPr>
          <w:lang w:val="es-ES"/>
        </w:rPr>
        <w:t xml:space="preserve"> </w:t>
      </w:r>
      <w:r w:rsidRPr="001C6806">
        <w:rPr>
          <w:lang w:val="es-ES"/>
        </w:rPr>
        <w:t>2012)</w:t>
      </w:r>
      <w:r w:rsidR="008A7C65">
        <w:rPr>
          <w:lang w:val="es-ES"/>
        </w:rPr>
        <w:t>. Un ejemplo muy actual es como ha ido evolucionado el conocimento acerca del COVID-19 a medida que se hacían mas experimentos y se tenían más datos.</w:t>
      </w:r>
    </w:p>
    <w:p w14:paraId="58F1A974" w14:textId="6F00BACC" w:rsidR="00E86EEC" w:rsidRPr="001C6806" w:rsidRDefault="00E86EEC" w:rsidP="007843A3">
      <w:pPr>
        <w:pStyle w:val="TextoNormal"/>
        <w:jc w:val="both"/>
        <w:rPr>
          <w:lang w:val="es-ES"/>
        </w:rPr>
      </w:pPr>
      <w:r w:rsidRPr="001C6806">
        <w:rPr>
          <w:lang w:val="es-ES"/>
        </w:rPr>
        <w:t xml:space="preserve">3) </w:t>
      </w:r>
      <w:r w:rsidR="008A7C65">
        <w:rPr>
          <w:lang w:val="es-ES"/>
        </w:rPr>
        <w:t>L</w:t>
      </w:r>
      <w:r w:rsidRPr="001C6806">
        <w:rPr>
          <w:lang w:val="es-ES"/>
        </w:rPr>
        <w:t xml:space="preserve">a </w:t>
      </w:r>
      <w:r w:rsidR="007843A3">
        <w:rPr>
          <w:lang w:val="es-ES"/>
        </w:rPr>
        <w:t>ciencia</w:t>
      </w:r>
      <w:r w:rsidRPr="001C6806">
        <w:rPr>
          <w:lang w:val="es-ES"/>
        </w:rPr>
        <w:t xml:space="preserve"> atribuye a sus proposiciones (los modelos y las predicciones que se hacen a partir de ellos) mayor o menor robustez según las pruebas que las sustentan, su capacidad de elaborar predicciones acertadas y el consenso que genera su interpretación.</w:t>
      </w:r>
      <w:r w:rsidR="00043370">
        <w:rPr>
          <w:lang w:val="es-ES"/>
        </w:rPr>
        <w:t xml:space="preserve"> </w:t>
      </w:r>
      <w:r w:rsidRPr="001C6806">
        <w:rPr>
          <w:lang w:val="es-ES"/>
        </w:rPr>
        <w:t xml:space="preserve">Es por ello que se establecen sistemas de validación de los nuevos modelos y teorías basadas en el consenso entre los diversos grupos de investigación – publicaciones en revistas </w:t>
      </w:r>
      <w:r w:rsidRPr="00F13026">
        <w:rPr>
          <w:i/>
          <w:lang w:val="es-ES"/>
        </w:rPr>
        <w:t>peer review</w:t>
      </w:r>
      <w:r w:rsidRPr="001C6806">
        <w:rPr>
          <w:lang w:val="es-ES"/>
        </w:rPr>
        <w:t>, presentaciones en congresos, etc.- no exentos de polémicas.</w:t>
      </w:r>
      <w:r w:rsidR="00043370">
        <w:rPr>
          <w:lang w:val="es-ES"/>
        </w:rPr>
        <w:t xml:space="preserve"> </w:t>
      </w:r>
    </w:p>
    <w:p w14:paraId="49FE9DFB" w14:textId="77777777" w:rsidR="00E86EEC" w:rsidRPr="001C6806" w:rsidRDefault="00E86EEC" w:rsidP="007843A3">
      <w:pPr>
        <w:pStyle w:val="TextoNormal"/>
        <w:jc w:val="both"/>
        <w:rPr>
          <w:lang w:val="es-ES"/>
        </w:rPr>
      </w:pPr>
    </w:p>
    <w:p w14:paraId="47FF9407" w14:textId="3AB4183F" w:rsidR="00E86EEC" w:rsidRPr="001C6806" w:rsidRDefault="00E86EEC" w:rsidP="007843A3">
      <w:pPr>
        <w:pStyle w:val="Citatextual"/>
        <w:jc w:val="both"/>
        <w:rPr>
          <w:color w:val="auto"/>
          <w:lang w:val="es-ES"/>
        </w:rPr>
      </w:pPr>
      <w:r w:rsidRPr="001C6806">
        <w:rPr>
          <w:color w:val="auto"/>
          <w:lang w:val="es-ES"/>
        </w:rPr>
        <w:t xml:space="preserve">Por ejemplo, la comprensión de que los cambios en las conclusiones sobre la gravedad del Covid19 como pandemia son una dinámica propia de la </w:t>
      </w:r>
      <w:r w:rsidR="007843A3">
        <w:rPr>
          <w:color w:val="auto"/>
          <w:lang w:val="es-ES"/>
        </w:rPr>
        <w:t>Ciencia</w:t>
      </w:r>
      <w:r w:rsidRPr="001C6806">
        <w:rPr>
          <w:color w:val="auto"/>
          <w:lang w:val="es-ES"/>
        </w:rPr>
        <w:t xml:space="preserve">: ante la aparición de nuevas pruebas, cambian las interpretaciones. </w:t>
      </w:r>
    </w:p>
    <w:p w14:paraId="32DEB553" w14:textId="77777777" w:rsidR="00E86EEC" w:rsidRPr="001C6806" w:rsidRDefault="00E86EEC" w:rsidP="007843A3">
      <w:pPr>
        <w:pStyle w:val="TextoNormal"/>
        <w:jc w:val="both"/>
        <w:rPr>
          <w:lang w:val="es-ES"/>
        </w:rPr>
      </w:pPr>
    </w:p>
    <w:p w14:paraId="24DEF065" w14:textId="77777777" w:rsidR="00E86EEC" w:rsidRPr="001C6806" w:rsidRDefault="00E86EEC" w:rsidP="007843A3">
      <w:pPr>
        <w:pStyle w:val="TextoNormal"/>
        <w:numPr>
          <w:ilvl w:val="0"/>
          <w:numId w:val="8"/>
        </w:numPr>
        <w:jc w:val="both"/>
        <w:rPr>
          <w:i/>
          <w:lang w:val="es-ES"/>
        </w:rPr>
      </w:pPr>
      <w:r w:rsidRPr="001C6806">
        <w:rPr>
          <w:i/>
          <w:lang w:val="es-ES"/>
        </w:rPr>
        <w:t xml:space="preserve">La cognición epistémica (“¿Cómo sé yo?”). </w:t>
      </w:r>
    </w:p>
    <w:p w14:paraId="17B911DC" w14:textId="77777777" w:rsidR="00E86EEC" w:rsidRPr="001C6806" w:rsidRDefault="00E86EEC" w:rsidP="007843A3">
      <w:pPr>
        <w:pStyle w:val="TextoNormal"/>
        <w:jc w:val="both"/>
        <w:rPr>
          <w:lang w:val="es-ES"/>
        </w:rPr>
      </w:pPr>
    </w:p>
    <w:p w14:paraId="31EEDD1F" w14:textId="1091C48A" w:rsidR="00E86EEC" w:rsidRPr="001C6806" w:rsidRDefault="00E86EEC" w:rsidP="007843A3">
      <w:pPr>
        <w:pStyle w:val="TextoNormal"/>
        <w:jc w:val="both"/>
        <w:rPr>
          <w:lang w:val="es-ES"/>
        </w:rPr>
      </w:pPr>
      <w:r w:rsidRPr="001C6806">
        <w:rPr>
          <w:lang w:val="es-ES"/>
        </w:rPr>
        <w:t>Refiere</w:t>
      </w:r>
      <w:r w:rsidR="00043370">
        <w:rPr>
          <w:lang w:val="es-ES"/>
        </w:rPr>
        <w:t xml:space="preserve"> </w:t>
      </w:r>
      <w:r w:rsidRPr="001C6806">
        <w:rPr>
          <w:lang w:val="es-ES"/>
        </w:rPr>
        <w:t>al sistema de creencias propio sobre la naturaleza del conocimiento y los</w:t>
      </w:r>
      <w:r w:rsidR="00043370">
        <w:rPr>
          <w:lang w:val="es-ES"/>
        </w:rPr>
        <w:t xml:space="preserve"> </w:t>
      </w:r>
      <w:r w:rsidRPr="001C6806">
        <w:rPr>
          <w:lang w:val="es-ES"/>
        </w:rPr>
        <w:t xml:space="preserve">procesos del conocimiento (Hofer </w:t>
      </w:r>
      <w:r w:rsidR="00F13026">
        <w:rPr>
          <w:lang w:val="es-ES"/>
        </w:rPr>
        <w:t>y</w:t>
      </w:r>
      <w:r w:rsidRPr="001C6806">
        <w:rPr>
          <w:lang w:val="es-ES"/>
        </w:rPr>
        <w:t xml:space="preserve"> Pintrich, 1997). Este eje implica la capacidad de identificar las propias creencias, hábitos y valores (Barzilai y Chinn, 2018), intereses y grupos de presión y su influencia no solo sobre los datos, sino también (y muy especialmente) sobre la naturaleza del conocimiento y autoconocimiento de los procesos que usamos para posicionarnos o tomar decisiones (Hofer y Pintrich, 1997). Esta componente incluye destrezas comunicativas y organizativas necesarias para la conexión del conocimiento con las situaciones contextualizadas, -como educación mediática y política- y la capacidad de hacer lectura crítica (por ejemplo, de la publicidad y los media), identificar sesgos</w:t>
      </w:r>
      <w:r w:rsidR="00D4123A">
        <w:rPr>
          <w:lang w:val="es-ES"/>
        </w:rPr>
        <w:t xml:space="preserve"> propios y ajenos</w:t>
      </w:r>
      <w:r w:rsidRPr="001C6806">
        <w:rPr>
          <w:lang w:val="es-ES"/>
        </w:rPr>
        <w:t xml:space="preserve"> y desarrollar pensamientos metareflexivos.</w:t>
      </w:r>
    </w:p>
    <w:p w14:paraId="33A5AA94" w14:textId="77777777" w:rsidR="00E86EEC" w:rsidRPr="001C6806" w:rsidRDefault="00E86EEC" w:rsidP="007843A3">
      <w:pPr>
        <w:pStyle w:val="TextoNormal"/>
        <w:jc w:val="both"/>
        <w:rPr>
          <w:lang w:val="es-ES"/>
        </w:rPr>
      </w:pPr>
    </w:p>
    <w:p w14:paraId="758DD212" w14:textId="77777777" w:rsidR="00E86EEC" w:rsidRPr="001C6806" w:rsidRDefault="00E86EEC" w:rsidP="007843A3">
      <w:pPr>
        <w:pStyle w:val="Citatextual"/>
        <w:jc w:val="both"/>
        <w:rPr>
          <w:color w:val="auto"/>
          <w:lang w:val="es-ES"/>
        </w:rPr>
      </w:pPr>
      <w:r w:rsidRPr="001C6806">
        <w:rPr>
          <w:color w:val="auto"/>
          <w:lang w:val="es-ES"/>
        </w:rPr>
        <w:t xml:space="preserve">Por ejemplo, la capacidad de identificar que una empresa de construcción de automóviles es un actor con intereses, y por lo tanto sus informaciones sobre cambio climático deben ser </w:t>
      </w:r>
      <w:r w:rsidRPr="001C6806">
        <w:rPr>
          <w:color w:val="auto"/>
          <w:lang w:val="es-ES"/>
        </w:rPr>
        <w:lastRenderedPageBreak/>
        <w:t>analizadas críticamente. O también, en una discusión sobre terapias naturales, identificar que el recuerdo de las infusiones que nos recetaba un ser querido está afectando a nuestro juicio sobre la cuestión.</w:t>
      </w:r>
    </w:p>
    <w:p w14:paraId="5CC0E25D" w14:textId="77777777" w:rsidR="00E86EEC" w:rsidRPr="001C6806" w:rsidRDefault="00E86EEC" w:rsidP="007843A3">
      <w:pPr>
        <w:pStyle w:val="TextoNormal"/>
        <w:jc w:val="both"/>
        <w:rPr>
          <w:lang w:val="es-ES"/>
        </w:rPr>
      </w:pPr>
    </w:p>
    <w:p w14:paraId="6EB9044A" w14:textId="297B84A5" w:rsidR="00E86EEC" w:rsidRDefault="008A7C65" w:rsidP="007843A3">
      <w:pPr>
        <w:pStyle w:val="TextoNormal"/>
        <w:ind w:firstLine="0"/>
        <w:jc w:val="both"/>
        <w:rPr>
          <w:lang w:val="es-ES"/>
        </w:rPr>
      </w:pPr>
      <w:r>
        <w:rPr>
          <w:lang w:val="es-ES"/>
        </w:rPr>
        <w:t>Así pues, teniendo presen</w:t>
      </w:r>
      <w:r w:rsidR="00D427E2">
        <w:rPr>
          <w:lang w:val="es-ES"/>
        </w:rPr>
        <w:t>te el marco presentado anterior</w:t>
      </w:r>
      <w:r>
        <w:rPr>
          <w:lang w:val="es-ES"/>
        </w:rPr>
        <w:t>ment</w:t>
      </w:r>
      <w:r w:rsidR="000D33A0">
        <w:rPr>
          <w:lang w:val="es-ES"/>
        </w:rPr>
        <w:t>e</w:t>
      </w:r>
      <w:r>
        <w:rPr>
          <w:lang w:val="es-ES"/>
        </w:rPr>
        <w:t>, p</w:t>
      </w:r>
      <w:r w:rsidR="00E86EEC" w:rsidRPr="001C6806">
        <w:rPr>
          <w:lang w:val="es-ES"/>
        </w:rPr>
        <w:t>roponemos para cada eje distintas estrategias de diseño de las actividades de aula que pueden usarse para el análisis de actividades, o como vías de “epistemización” de actividades didácticas (Tabla 1).</w:t>
      </w:r>
      <w:r w:rsidR="001B5740" w:rsidRPr="001B5740">
        <w:rPr>
          <w:lang w:val="es-ES"/>
        </w:rPr>
        <w:t xml:space="preserve"> </w:t>
      </w:r>
      <w:r w:rsidR="001B5740" w:rsidRPr="001C6806">
        <w:rPr>
          <w:lang w:val="es-ES"/>
        </w:rPr>
        <w:t xml:space="preserve">El listado de estrategias </w:t>
      </w:r>
      <w:r w:rsidR="001B5740">
        <w:rPr>
          <w:lang w:val="es-ES"/>
        </w:rPr>
        <w:t xml:space="preserve">no </w:t>
      </w:r>
      <w:r w:rsidR="001B5740" w:rsidRPr="001C6806">
        <w:rPr>
          <w:lang w:val="es-ES"/>
        </w:rPr>
        <w:t xml:space="preserve">tiene pretensión de exhaustividad, </w:t>
      </w:r>
      <w:r w:rsidR="001B5740">
        <w:rPr>
          <w:lang w:val="es-ES"/>
        </w:rPr>
        <w:t xml:space="preserve">sino que pretende facilitar la identificación de </w:t>
      </w:r>
      <w:r w:rsidR="001B5740" w:rsidRPr="001C6806">
        <w:rPr>
          <w:lang w:val="es-ES"/>
        </w:rPr>
        <w:t xml:space="preserve">vías de transformación, de “epistemización” de actividades. </w:t>
      </w:r>
    </w:p>
    <w:p w14:paraId="406522F4" w14:textId="77777777" w:rsidR="001B70CD" w:rsidRDefault="001B70CD" w:rsidP="007843A3">
      <w:pPr>
        <w:pStyle w:val="TextoNormal"/>
        <w:ind w:firstLine="0"/>
        <w:jc w:val="both"/>
        <w:rPr>
          <w:lang w:val="es-ES"/>
        </w:rPr>
      </w:pPr>
    </w:p>
    <w:p w14:paraId="02FAD139" w14:textId="77777777" w:rsidR="001B70CD" w:rsidRPr="001C6806" w:rsidRDefault="001B70CD" w:rsidP="007843A3">
      <w:pPr>
        <w:pStyle w:val="TextoNormal"/>
        <w:ind w:firstLine="0"/>
        <w:jc w:val="both"/>
        <w:rPr>
          <w:lang w:val="es-ES"/>
        </w:rPr>
      </w:pPr>
    </w:p>
    <w:p w14:paraId="4AE68A69" w14:textId="77777777" w:rsidR="00E86EEC" w:rsidRPr="001C6806" w:rsidRDefault="00E86EEC" w:rsidP="00A063C2">
      <w:pPr>
        <w:pStyle w:val="TextoNormal"/>
        <w:rPr>
          <w:lang w:val="es-ES"/>
        </w:rPr>
      </w:pPr>
    </w:p>
    <w:p w14:paraId="0958BDFB" w14:textId="77777777" w:rsidR="00E86EEC" w:rsidRPr="001C6806" w:rsidRDefault="00E86EEC" w:rsidP="00E86EEC">
      <w:pPr>
        <w:pStyle w:val="phmfigures"/>
        <w:spacing w:before="0"/>
        <w:ind w:firstLine="0"/>
        <w:rPr>
          <w:lang w:val="es-ES" w:eastAsia="es-ES"/>
        </w:rPr>
      </w:pPr>
      <w:r w:rsidRPr="001C6806">
        <w:rPr>
          <w:b/>
          <w:smallCaps/>
          <w:sz w:val="22"/>
          <w:lang w:val="es-ES"/>
        </w:rPr>
        <w:t xml:space="preserve">Tabla </w:t>
      </w:r>
      <w:r w:rsidRPr="001C6806">
        <w:rPr>
          <w:b/>
          <w:smallCaps/>
          <w:noProof w:val="0"/>
          <w:sz w:val="22"/>
          <w:lang w:val="es-ES"/>
        </w:rPr>
        <w:t>1</w:t>
      </w:r>
      <w:r w:rsidRPr="001C6806">
        <w:rPr>
          <w:b/>
          <w:smallCaps/>
          <w:sz w:val="22"/>
          <w:lang w:val="es-ES"/>
        </w:rPr>
        <w:t xml:space="preserve">. </w:t>
      </w:r>
      <w:r w:rsidRPr="001C6806">
        <w:rPr>
          <w:sz w:val="22"/>
          <w:lang w:val="es-ES"/>
        </w:rPr>
        <w:t>Estrategias para interpelar el diseño de actividades.</w:t>
      </w:r>
    </w:p>
    <w:p w14:paraId="2C7D05E0" w14:textId="77777777" w:rsidR="00E86EEC" w:rsidRPr="001C6806" w:rsidRDefault="00E86EEC" w:rsidP="00E86EEC">
      <w:pPr>
        <w:jc w:val="right"/>
        <w:rPr>
          <w:sz w:val="18"/>
          <w:lang w:val="es-ES"/>
        </w:rPr>
      </w:pPr>
    </w:p>
    <w:tbl>
      <w:tblPr>
        <w:tblStyle w:val="Tablanormal21"/>
        <w:tblW w:w="9176" w:type="dxa"/>
        <w:tblInd w:w="571" w:type="dxa"/>
        <w:tblLayout w:type="fixed"/>
        <w:tblLook w:val="0600" w:firstRow="0" w:lastRow="0" w:firstColumn="0" w:lastColumn="0" w:noHBand="1" w:noVBand="1"/>
      </w:tblPr>
      <w:tblGrid>
        <w:gridCol w:w="1664"/>
        <w:gridCol w:w="7512"/>
      </w:tblGrid>
      <w:tr w:rsidR="00E86EEC" w:rsidRPr="001C6806" w14:paraId="238C34F4" w14:textId="77777777" w:rsidTr="00E86EEC">
        <w:trPr>
          <w:trHeight w:val="619"/>
        </w:trPr>
        <w:tc>
          <w:tcPr>
            <w:tcW w:w="1664" w:type="dxa"/>
            <w:tcBorders>
              <w:top w:val="single" w:sz="4" w:space="0" w:color="7F7F7F" w:themeColor="text1" w:themeTint="80"/>
              <w:bottom w:val="single" w:sz="2" w:space="0" w:color="7F7F7F" w:themeColor="text1" w:themeTint="80"/>
            </w:tcBorders>
            <w:vAlign w:val="center"/>
          </w:tcPr>
          <w:p w14:paraId="535724FC" w14:textId="77777777" w:rsidR="00E86EEC" w:rsidRPr="001C6806" w:rsidRDefault="00E86EEC" w:rsidP="00654E29">
            <w:pPr>
              <w:pStyle w:val="Textotabla"/>
            </w:pPr>
          </w:p>
        </w:tc>
        <w:tc>
          <w:tcPr>
            <w:tcW w:w="7512" w:type="dxa"/>
            <w:tcBorders>
              <w:top w:val="single" w:sz="4" w:space="0" w:color="7F7F7F" w:themeColor="text1" w:themeTint="80"/>
              <w:bottom w:val="single" w:sz="2" w:space="0" w:color="7F7F7F" w:themeColor="text1" w:themeTint="80"/>
            </w:tcBorders>
            <w:vAlign w:val="center"/>
          </w:tcPr>
          <w:p w14:paraId="5132C3BE" w14:textId="77777777" w:rsidR="00E86EEC" w:rsidRPr="001C6806" w:rsidRDefault="00E86EEC" w:rsidP="00654E29">
            <w:pPr>
              <w:pStyle w:val="Textotabla"/>
            </w:pPr>
            <w:r w:rsidRPr="001C6806">
              <w:rPr>
                <w:b/>
              </w:rPr>
              <w:t>Estrategias de diseño y “epistemización</w:t>
            </w:r>
            <w:r w:rsidRPr="001C6806">
              <w:t>” (</w:t>
            </w:r>
            <w:r w:rsidRPr="001C6806">
              <w:rPr>
                <w:i/>
              </w:rPr>
              <w:t>hacer actividades en las que…</w:t>
            </w:r>
            <w:r w:rsidRPr="001C6806">
              <w:t>)</w:t>
            </w:r>
          </w:p>
        </w:tc>
      </w:tr>
      <w:tr w:rsidR="00E86EEC" w:rsidRPr="001C6806" w14:paraId="3DEAC828" w14:textId="77777777" w:rsidTr="00E86EEC">
        <w:trPr>
          <w:trHeight w:val="619"/>
        </w:trPr>
        <w:tc>
          <w:tcPr>
            <w:tcW w:w="1664" w:type="dxa"/>
            <w:tcBorders>
              <w:top w:val="single" w:sz="4" w:space="0" w:color="7F7F7F" w:themeColor="text1" w:themeTint="80"/>
              <w:bottom w:val="single" w:sz="2" w:space="0" w:color="7F7F7F" w:themeColor="text1" w:themeTint="80"/>
            </w:tcBorders>
            <w:vAlign w:val="center"/>
          </w:tcPr>
          <w:p w14:paraId="54D841D1" w14:textId="77777777" w:rsidR="00E86EEC" w:rsidRPr="001C6806" w:rsidRDefault="00E86EEC" w:rsidP="00654E29">
            <w:pPr>
              <w:pStyle w:val="Textotabla"/>
            </w:pPr>
            <w:r w:rsidRPr="001C6806">
              <w:t>Destrezas de uso de pruebas y Argumentación</w:t>
            </w:r>
          </w:p>
        </w:tc>
        <w:tc>
          <w:tcPr>
            <w:tcW w:w="7512" w:type="dxa"/>
            <w:tcBorders>
              <w:top w:val="single" w:sz="4" w:space="0" w:color="7F7F7F" w:themeColor="text1" w:themeTint="80"/>
              <w:bottom w:val="single" w:sz="2" w:space="0" w:color="7F7F7F" w:themeColor="text1" w:themeTint="80"/>
            </w:tcBorders>
            <w:vAlign w:val="center"/>
          </w:tcPr>
          <w:p w14:paraId="0761CC37" w14:textId="77777777" w:rsidR="00E86EEC" w:rsidRPr="001C6806" w:rsidRDefault="00E86EEC" w:rsidP="00C2726E">
            <w:pPr>
              <w:pStyle w:val="Textotabla"/>
              <w:numPr>
                <w:ilvl w:val="0"/>
                <w:numId w:val="9"/>
              </w:numPr>
              <w:jc w:val="left"/>
            </w:pPr>
            <w:r w:rsidRPr="001C6806">
              <w:t xml:space="preserve">Incorporar en la actividad datos de distintos tipos y orígenes para su uso como pruebas, de modo que puedan entrar en concurso o conflicto. </w:t>
            </w:r>
            <w:r w:rsidRPr="001C6806">
              <w:rPr>
                <w:i/>
              </w:rPr>
              <w:t>(“¿Todos los datos indican lo mismo? ¿Hay algún dato incongruente?”).</w:t>
            </w:r>
          </w:p>
          <w:p w14:paraId="4DE412ED" w14:textId="3622EDD4" w:rsidR="00E86EEC" w:rsidRPr="001C6806" w:rsidRDefault="00E86EEC" w:rsidP="00C2726E">
            <w:pPr>
              <w:pStyle w:val="Textotabla"/>
              <w:numPr>
                <w:ilvl w:val="0"/>
                <w:numId w:val="9"/>
              </w:numPr>
              <w:jc w:val="left"/>
            </w:pPr>
            <w:r w:rsidRPr="001C6806">
              <w:t>Incluir demandas de priorizar pruebas según su especificidad, sufi</w:t>
            </w:r>
            <w:r w:rsidR="007843A3">
              <w:t>ciencia</w:t>
            </w:r>
            <w:r w:rsidRPr="001C6806">
              <w:t xml:space="preserve"> y fiabilidad o valorar argumentos según su coherencia/pertinencia. </w:t>
            </w:r>
            <w:r w:rsidRPr="001C6806">
              <w:rPr>
                <w:i/>
              </w:rPr>
              <w:t>(“¿Cuál de esas pruebas es más específica? ¿Es coherente este argumento con el anterior? ¿Es suficiente esa prueba para afirmar que…?</w:t>
            </w:r>
            <w:r w:rsidRPr="001C6806">
              <w:t xml:space="preserve">”). </w:t>
            </w:r>
          </w:p>
          <w:p w14:paraId="41B6E9BC" w14:textId="77777777" w:rsidR="00E86EEC" w:rsidRPr="001C6806" w:rsidRDefault="00E86EEC" w:rsidP="00C2726E">
            <w:pPr>
              <w:pStyle w:val="Textotabla"/>
              <w:numPr>
                <w:ilvl w:val="0"/>
                <w:numId w:val="9"/>
              </w:numPr>
              <w:jc w:val="left"/>
            </w:pPr>
            <w:r w:rsidRPr="001C6806">
              <w:t>Proponer apoyos lingüísticos para argumentar (Conectores gramaticales, rutinas de pensamiento, ejemplos de argumentos, tablas de análisis de argumentos…).</w:t>
            </w:r>
          </w:p>
          <w:p w14:paraId="2131B0C2" w14:textId="77777777" w:rsidR="00E86EEC" w:rsidRPr="001C6806" w:rsidRDefault="00E86EEC" w:rsidP="00C2726E">
            <w:pPr>
              <w:pStyle w:val="Textotabla"/>
              <w:numPr>
                <w:ilvl w:val="0"/>
                <w:numId w:val="9"/>
              </w:numPr>
              <w:jc w:val="left"/>
            </w:pPr>
            <w:r w:rsidRPr="001C6806">
              <w:t>Identificar y categorizar tipos de aportaciones a una argumentación (</w:t>
            </w:r>
            <w:r w:rsidRPr="001C6806">
              <w:rPr>
                <w:i/>
              </w:rPr>
              <w:t>Aportar un dato, explicitar una refutación,..</w:t>
            </w:r>
            <w:r w:rsidRPr="001C6806">
              <w:t>.).</w:t>
            </w:r>
          </w:p>
          <w:p w14:paraId="0A56C5B1" w14:textId="77777777" w:rsidR="00E86EEC" w:rsidRPr="001C6806" w:rsidRDefault="00E86EEC" w:rsidP="00C2726E">
            <w:pPr>
              <w:pStyle w:val="Textotabla"/>
              <w:numPr>
                <w:ilvl w:val="0"/>
                <w:numId w:val="9"/>
              </w:numPr>
              <w:jc w:val="left"/>
            </w:pPr>
            <w:r w:rsidRPr="001C6806">
              <w:t>Incorporar etapas de reflexión metacognitiva en los procesos anteriores (</w:t>
            </w:r>
            <w:r w:rsidRPr="001C6806">
              <w:rPr>
                <w:i/>
              </w:rPr>
              <w:t>“¿En base a qué afirmamos que…? ¿Qué sabemos ahora sobre lo que hace que un argumento sea convincente?”)</w:t>
            </w:r>
          </w:p>
        </w:tc>
      </w:tr>
      <w:tr w:rsidR="00E86EEC" w:rsidRPr="001C6806" w14:paraId="1912B04F" w14:textId="77777777" w:rsidTr="00E86EEC">
        <w:trPr>
          <w:trHeight w:val="619"/>
        </w:trPr>
        <w:tc>
          <w:tcPr>
            <w:tcW w:w="1664" w:type="dxa"/>
            <w:tcBorders>
              <w:top w:val="single" w:sz="4" w:space="0" w:color="7F7F7F" w:themeColor="text1" w:themeTint="80"/>
              <w:bottom w:val="single" w:sz="2" w:space="0" w:color="7F7F7F" w:themeColor="text1" w:themeTint="80"/>
            </w:tcBorders>
            <w:vAlign w:val="center"/>
          </w:tcPr>
          <w:p w14:paraId="730D6A7D" w14:textId="3805552E" w:rsidR="00E86EEC" w:rsidRPr="001C6806" w:rsidRDefault="00E86EEC" w:rsidP="00654E29">
            <w:pPr>
              <w:pStyle w:val="Textotabla"/>
            </w:pPr>
            <w:r w:rsidRPr="001C6806">
              <w:t xml:space="preserve">Conocimiento de la Naturaleza de la </w:t>
            </w:r>
            <w:r w:rsidR="007843A3">
              <w:t>Ciencia</w:t>
            </w:r>
          </w:p>
        </w:tc>
        <w:tc>
          <w:tcPr>
            <w:tcW w:w="7512" w:type="dxa"/>
            <w:tcBorders>
              <w:top w:val="single" w:sz="4" w:space="0" w:color="7F7F7F" w:themeColor="text1" w:themeTint="80"/>
              <w:bottom w:val="single" w:sz="2" w:space="0" w:color="7F7F7F" w:themeColor="text1" w:themeTint="80"/>
            </w:tcBorders>
            <w:vAlign w:val="center"/>
          </w:tcPr>
          <w:p w14:paraId="64BB33F2" w14:textId="77777777" w:rsidR="00E86EEC" w:rsidRPr="001C6806" w:rsidRDefault="00E86EEC" w:rsidP="00C2726E">
            <w:pPr>
              <w:pStyle w:val="Textotabla"/>
              <w:numPr>
                <w:ilvl w:val="0"/>
                <w:numId w:val="9"/>
              </w:numPr>
              <w:jc w:val="left"/>
            </w:pPr>
            <w:r w:rsidRPr="001C6806">
              <w:t>Incorporar tareas en las que haya que construir o formular modelos explicativos (interpretaciones) a partir de datos (</w:t>
            </w:r>
            <w:r w:rsidRPr="001C6806">
              <w:rPr>
                <w:i/>
              </w:rPr>
              <w:t>“Qué está ocurriendo en este escenario de datos? ¿Por qué ocurre?”)</w:t>
            </w:r>
          </w:p>
          <w:p w14:paraId="7CC4B289" w14:textId="77777777" w:rsidR="00E86EEC" w:rsidRPr="001C6806" w:rsidRDefault="00E86EEC" w:rsidP="00C2726E">
            <w:pPr>
              <w:pStyle w:val="Textotabla"/>
              <w:numPr>
                <w:ilvl w:val="0"/>
                <w:numId w:val="9"/>
              </w:numPr>
              <w:jc w:val="left"/>
            </w:pPr>
            <w:r w:rsidRPr="001C6806">
              <w:t>Secuenciar la incorporación de datos de forma paulatina, provocando cambios en las interpretaciones y discutir de forma explícita con el alumnado el proceso que ha tenido lugar (</w:t>
            </w:r>
            <w:r w:rsidRPr="001C6806">
              <w:rPr>
                <w:i/>
              </w:rPr>
              <w:t>“¿Qué pensáis ahora? ¿Continúa significando lo mismo? ¿Qué ha ocurrido? ¿Era cierto antes y no lo es ahora?”).</w:t>
            </w:r>
          </w:p>
          <w:p w14:paraId="210239FE" w14:textId="77777777" w:rsidR="00E86EEC" w:rsidRPr="001C6806" w:rsidRDefault="00E86EEC" w:rsidP="00C2726E">
            <w:pPr>
              <w:pStyle w:val="Textotabla"/>
              <w:numPr>
                <w:ilvl w:val="0"/>
                <w:numId w:val="9"/>
              </w:numPr>
              <w:jc w:val="left"/>
            </w:pPr>
            <w:r w:rsidRPr="001C6806">
              <w:t xml:space="preserve">Incluir eventos de evaluación del grado de ajuste de un modelo a los datos o de detección de sus limitaciones </w:t>
            </w:r>
            <w:r w:rsidRPr="001C6806">
              <w:rPr>
                <w:i/>
              </w:rPr>
              <w:t>(“¿Hasta qué punto esto explica lo que ocurre? ¿En qué casos funciona la explicación y en qué casos no?”</w:t>
            </w:r>
            <w:r w:rsidRPr="001C6806">
              <w:t>).</w:t>
            </w:r>
          </w:p>
          <w:p w14:paraId="6D778170" w14:textId="77777777" w:rsidR="00E86EEC" w:rsidRPr="001C6806" w:rsidRDefault="00E86EEC" w:rsidP="00C2726E">
            <w:pPr>
              <w:pStyle w:val="Textotabla"/>
              <w:numPr>
                <w:ilvl w:val="0"/>
                <w:numId w:val="9"/>
              </w:numPr>
              <w:jc w:val="left"/>
            </w:pPr>
            <w:r w:rsidRPr="001C6806">
              <w:t>Interpelar al alumnado por el grado y fuentes de certidumbre de alguna proposición? (“¿</w:t>
            </w:r>
            <w:r w:rsidRPr="001C6806">
              <w:rPr>
                <w:i/>
              </w:rPr>
              <w:t>Cuán seguros estamos de…</w:t>
            </w:r>
            <w:r w:rsidRPr="001C6806">
              <w:t>?</w:t>
            </w:r>
            <w:r w:rsidRPr="001C6806">
              <w:rPr>
                <w:i/>
              </w:rPr>
              <w:t xml:space="preserve"> ¿Por qué estamos tan seguros? ¿Cómo podríamos estarlo más?”</w:t>
            </w:r>
            <w:r w:rsidRPr="001C6806">
              <w:t>).</w:t>
            </w:r>
          </w:p>
          <w:p w14:paraId="1CADA06C" w14:textId="77777777" w:rsidR="00E86EEC" w:rsidRPr="001C6806" w:rsidRDefault="00E86EEC" w:rsidP="00C2726E">
            <w:pPr>
              <w:pStyle w:val="Textotabla"/>
              <w:numPr>
                <w:ilvl w:val="0"/>
                <w:numId w:val="9"/>
              </w:numPr>
              <w:jc w:val="left"/>
            </w:pPr>
            <w:r w:rsidRPr="001C6806">
              <w:t>Crear situaciones de interpretación de datos en las que se promueve un “vacío” (el docente no da la solución “correcta” al final).</w:t>
            </w:r>
          </w:p>
          <w:p w14:paraId="4BF01717" w14:textId="3364D912" w:rsidR="00E86EEC" w:rsidRPr="001C6806" w:rsidRDefault="00E86EEC" w:rsidP="00C2726E">
            <w:pPr>
              <w:pStyle w:val="Textotabla"/>
              <w:numPr>
                <w:ilvl w:val="0"/>
                <w:numId w:val="9"/>
              </w:numPr>
              <w:jc w:val="left"/>
            </w:pPr>
            <w:r w:rsidRPr="001C6806">
              <w:t xml:space="preserve">Incluir dinámicas comunicativas y géneros textuales propios de las </w:t>
            </w:r>
            <w:r w:rsidR="007843A3">
              <w:t>ciencia</w:t>
            </w:r>
            <w:r w:rsidRPr="001C6806">
              <w:t>s (seminario, congreso, artículo…) y reproducir sus roles (consejos editoriales de revistas, grupos de investigación y financiación…).</w:t>
            </w:r>
          </w:p>
          <w:p w14:paraId="54B2AE9D" w14:textId="751D4A33" w:rsidR="00E86EEC" w:rsidRPr="001C6806" w:rsidRDefault="00E86EEC" w:rsidP="00C2726E">
            <w:pPr>
              <w:pStyle w:val="Textotabla"/>
              <w:numPr>
                <w:ilvl w:val="0"/>
                <w:numId w:val="9"/>
              </w:numPr>
              <w:jc w:val="left"/>
            </w:pPr>
            <w:r w:rsidRPr="001C6806">
              <w:t xml:space="preserve">Emular o reproducir controversias científicas de la Historia de la </w:t>
            </w:r>
            <w:r w:rsidR="007843A3">
              <w:t>Ciencia</w:t>
            </w:r>
            <w:r w:rsidRPr="001C6806">
              <w:t xml:space="preserve"> que incluyan presiones o paradigmas sociales (discriminación de género o </w:t>
            </w:r>
            <w:r w:rsidRPr="001C6806">
              <w:lastRenderedPageBreak/>
              <w:t>racial, presiones por intereses económicos…)</w:t>
            </w:r>
          </w:p>
          <w:p w14:paraId="65E18E08" w14:textId="77777777" w:rsidR="00E86EEC" w:rsidRPr="001C6806" w:rsidRDefault="00E86EEC" w:rsidP="00C2726E">
            <w:pPr>
              <w:pStyle w:val="Textotabla"/>
              <w:numPr>
                <w:ilvl w:val="0"/>
                <w:numId w:val="9"/>
              </w:numPr>
              <w:jc w:val="left"/>
            </w:pPr>
            <w:r w:rsidRPr="001C6806">
              <w:t xml:space="preserve">Incorporar e identificar etapas de reflexión metacognitiva explícita sobre los procesos anteriores. </w:t>
            </w:r>
            <w:r w:rsidRPr="001C6806">
              <w:rPr>
                <w:i/>
              </w:rPr>
              <w:t>(“¿Qué tiene de particular y científico esa discusión que hemos llevado a cabo? ¿Qué características del proceso que seguimos ayudan a estar más seguros? ¿Cuáles son los puntos débiles? ”).</w:t>
            </w:r>
          </w:p>
        </w:tc>
      </w:tr>
      <w:tr w:rsidR="00E86EEC" w:rsidRPr="001C6806" w14:paraId="4D98A035" w14:textId="77777777" w:rsidTr="00E86EEC">
        <w:trPr>
          <w:trHeight w:val="268"/>
        </w:trPr>
        <w:tc>
          <w:tcPr>
            <w:tcW w:w="1664" w:type="dxa"/>
            <w:tcBorders>
              <w:top w:val="single" w:sz="4" w:space="0" w:color="7F7F7F" w:themeColor="text1" w:themeTint="80"/>
              <w:bottom w:val="single" w:sz="2" w:space="0" w:color="7F7F7F" w:themeColor="text1" w:themeTint="80"/>
            </w:tcBorders>
            <w:vAlign w:val="center"/>
          </w:tcPr>
          <w:p w14:paraId="7D0293A6" w14:textId="77777777" w:rsidR="00E86EEC" w:rsidRPr="001C6806" w:rsidRDefault="00E86EEC" w:rsidP="00654E29">
            <w:pPr>
              <w:pStyle w:val="Textotabla"/>
            </w:pPr>
            <w:r w:rsidRPr="001C6806">
              <w:lastRenderedPageBreak/>
              <w:t>Cognición epistémica</w:t>
            </w:r>
          </w:p>
        </w:tc>
        <w:tc>
          <w:tcPr>
            <w:tcW w:w="7512" w:type="dxa"/>
            <w:tcBorders>
              <w:top w:val="single" w:sz="4" w:space="0" w:color="7F7F7F" w:themeColor="text1" w:themeTint="80"/>
              <w:bottom w:val="single" w:sz="2" w:space="0" w:color="7F7F7F" w:themeColor="text1" w:themeTint="80"/>
            </w:tcBorders>
            <w:vAlign w:val="center"/>
          </w:tcPr>
          <w:p w14:paraId="66E7360C" w14:textId="77777777" w:rsidR="00E86EEC" w:rsidRPr="001C6806" w:rsidRDefault="00E86EEC" w:rsidP="00C2726E">
            <w:pPr>
              <w:pStyle w:val="Textotabla"/>
              <w:numPr>
                <w:ilvl w:val="0"/>
                <w:numId w:val="9"/>
              </w:numPr>
              <w:jc w:val="left"/>
            </w:pPr>
            <w:r w:rsidRPr="001C6806">
              <w:t xml:space="preserve">Proponer posicionamientos ante problemáticas y asociar a cada posicionamiento /actor unos sesgos </w:t>
            </w:r>
            <w:r w:rsidRPr="001C6806">
              <w:rPr>
                <w:i/>
              </w:rPr>
              <w:t>(“¿Por qué apoya este personaje la decisión de…?</w:t>
            </w:r>
            <w:r w:rsidRPr="001C6806">
              <w:t>”).</w:t>
            </w:r>
          </w:p>
          <w:p w14:paraId="4F11562E" w14:textId="77777777" w:rsidR="00E86EEC" w:rsidRPr="001C6806" w:rsidRDefault="00E86EEC" w:rsidP="00C2726E">
            <w:pPr>
              <w:pStyle w:val="Textotabla"/>
              <w:numPr>
                <w:ilvl w:val="0"/>
                <w:numId w:val="9"/>
              </w:numPr>
              <w:jc w:val="left"/>
            </w:pPr>
            <w:r w:rsidRPr="001C6806">
              <w:t xml:space="preserve">Identificar de forma explícita distintos tipos de sesgos a situaciones concretas </w:t>
            </w:r>
            <w:r w:rsidRPr="001C6806">
              <w:rPr>
                <w:i/>
              </w:rPr>
              <w:t>(“¿Qué sesgos pueden afectar en este contexto?”</w:t>
            </w:r>
            <w:r w:rsidRPr="001C6806">
              <w:t>)</w:t>
            </w:r>
          </w:p>
          <w:p w14:paraId="67240B29" w14:textId="77777777" w:rsidR="00E86EEC" w:rsidRPr="001C6806" w:rsidRDefault="00E86EEC" w:rsidP="00C2726E">
            <w:pPr>
              <w:pStyle w:val="Textotabla"/>
              <w:numPr>
                <w:ilvl w:val="0"/>
                <w:numId w:val="9"/>
              </w:numPr>
              <w:jc w:val="left"/>
            </w:pPr>
            <w:r w:rsidRPr="001C6806">
              <w:t>Vincular valores y creencias a la toma de decisiones, haciéndolos explícitos (“</w:t>
            </w:r>
            <w:r w:rsidRPr="001C6806">
              <w:rPr>
                <w:i/>
              </w:rPr>
              <w:t>¿Qué creencias o valores participan en este contexto?”).</w:t>
            </w:r>
          </w:p>
          <w:p w14:paraId="6CCD05AC" w14:textId="77777777" w:rsidR="00E86EEC" w:rsidRPr="001C6806" w:rsidRDefault="00E86EEC" w:rsidP="00C2726E">
            <w:pPr>
              <w:pStyle w:val="Textotabla"/>
              <w:numPr>
                <w:ilvl w:val="0"/>
                <w:numId w:val="9"/>
              </w:numPr>
              <w:jc w:val="left"/>
            </w:pPr>
            <w:r w:rsidRPr="001C6806">
              <w:t>Identificar intereses, grupos de poder y roles en la resolución de controversias (</w:t>
            </w:r>
            <w:r w:rsidRPr="001C6806">
              <w:rPr>
                <w:i/>
              </w:rPr>
              <w:t>“¿Qué intereses u obstáculos existen en la toma de esta decisión?”).</w:t>
            </w:r>
          </w:p>
          <w:p w14:paraId="105F9943" w14:textId="77777777" w:rsidR="00E86EEC" w:rsidRPr="001C6806" w:rsidRDefault="00E86EEC" w:rsidP="00C2726E">
            <w:pPr>
              <w:pStyle w:val="Textotabla"/>
              <w:numPr>
                <w:ilvl w:val="0"/>
                <w:numId w:val="9"/>
              </w:numPr>
              <w:jc w:val="left"/>
            </w:pPr>
            <w:r w:rsidRPr="001C6806">
              <w:t>Asociar distintos sesgos cognitivos con vulnerabilidades (</w:t>
            </w:r>
            <w:r w:rsidRPr="001C6806">
              <w:rPr>
                <w:i/>
              </w:rPr>
              <w:t>“Confía mucho en la autoridad, y eso le hace vulnerable en situaciones en que…”).</w:t>
            </w:r>
          </w:p>
          <w:p w14:paraId="3E8769E5" w14:textId="77777777" w:rsidR="00E86EEC" w:rsidRPr="001C6806" w:rsidRDefault="00E86EEC" w:rsidP="00C2726E">
            <w:pPr>
              <w:pStyle w:val="Textotabla"/>
              <w:numPr>
                <w:ilvl w:val="0"/>
                <w:numId w:val="9"/>
              </w:numPr>
              <w:jc w:val="left"/>
            </w:pPr>
            <w:r w:rsidRPr="001C6806">
              <w:t>Elaborar listados de ventajas/inconvenientes y justificar su origen valórico.</w:t>
            </w:r>
            <w:r w:rsidRPr="001C6806">
              <w:rPr>
                <w:i/>
              </w:rPr>
              <w:t xml:space="preserve"> (“Para mí eso es una ventaja porque para mí lo importante es…”).</w:t>
            </w:r>
          </w:p>
          <w:p w14:paraId="6BF645C3" w14:textId="77777777" w:rsidR="00E86EEC" w:rsidRPr="001C6806" w:rsidRDefault="00E86EEC" w:rsidP="00C2726E">
            <w:pPr>
              <w:pStyle w:val="Textotabla"/>
              <w:numPr>
                <w:ilvl w:val="0"/>
                <w:numId w:val="9"/>
              </w:numPr>
              <w:jc w:val="left"/>
            </w:pPr>
            <w:r w:rsidRPr="001C6806">
              <w:t>Promover la distinción entre lo que es cierto y lo que es conveniente (</w:t>
            </w:r>
            <w:r w:rsidRPr="001C6806">
              <w:rPr>
                <w:i/>
              </w:rPr>
              <w:t>“¿Estamos afirmando esto porque es muy cierto o porque nos conviene/no parece más ético?”</w:t>
            </w:r>
            <w:r w:rsidRPr="001C6806">
              <w:t>).</w:t>
            </w:r>
          </w:p>
          <w:p w14:paraId="61DF464B" w14:textId="47472E0B" w:rsidR="00E86EEC" w:rsidRPr="001C6806" w:rsidRDefault="00E86EEC" w:rsidP="00C2726E">
            <w:pPr>
              <w:pStyle w:val="Textotabla"/>
              <w:numPr>
                <w:ilvl w:val="0"/>
                <w:numId w:val="9"/>
              </w:numPr>
              <w:jc w:val="left"/>
            </w:pPr>
            <w:r w:rsidRPr="001C6806">
              <w:t>¿Se incorpora una reflexión metacognitiva</w:t>
            </w:r>
            <w:r w:rsidR="00043370">
              <w:t xml:space="preserve"> </w:t>
            </w:r>
            <w:r w:rsidRPr="001C6806">
              <w:t>sobre las estrategias usadas para conocer los sesgos y el propio proceso de conocimiento y toma de decisiones (</w:t>
            </w:r>
            <w:r w:rsidRPr="001C6806">
              <w:rPr>
                <w:i/>
              </w:rPr>
              <w:t xml:space="preserve">“¿Qué acciones me ayudan a conocer mis sesgos? “ “¿Qué estrategias puedo usar cuando no estoy segura de si estoy valorando adecuadamente…?”). </w:t>
            </w:r>
          </w:p>
        </w:tc>
      </w:tr>
    </w:tbl>
    <w:p w14:paraId="7346FFD8" w14:textId="77777777" w:rsidR="00E86EEC" w:rsidRDefault="00E86EEC" w:rsidP="00E86EEC">
      <w:pPr>
        <w:pStyle w:val="Piedegrficooimagen"/>
        <w:spacing w:before="0" w:after="0"/>
        <w:rPr>
          <w:lang w:val="es-ES"/>
        </w:rPr>
      </w:pPr>
      <w:r w:rsidRPr="001C6806">
        <w:rPr>
          <w:lang w:val="es-ES"/>
        </w:rPr>
        <w:t>Fuente: Elaboración propia</w:t>
      </w:r>
    </w:p>
    <w:p w14:paraId="3DEE48FD" w14:textId="77777777" w:rsidR="007843A3" w:rsidRPr="001C6806" w:rsidRDefault="007843A3" w:rsidP="00E86EEC">
      <w:pPr>
        <w:pStyle w:val="Piedegrficooimagen"/>
        <w:spacing w:before="0" w:after="0"/>
        <w:rPr>
          <w:lang w:val="es-ES"/>
        </w:rPr>
      </w:pPr>
    </w:p>
    <w:p w14:paraId="05D20592" w14:textId="77777777" w:rsidR="00897C02" w:rsidRPr="001C6806" w:rsidRDefault="00897C02" w:rsidP="00C2726E">
      <w:pPr>
        <w:pStyle w:val="Encabezado1"/>
        <w:numPr>
          <w:ilvl w:val="0"/>
          <w:numId w:val="7"/>
        </w:numPr>
        <w:spacing w:before="0" w:after="0"/>
        <w:rPr>
          <w:lang w:val="es-ES"/>
        </w:rPr>
      </w:pPr>
      <w:r w:rsidRPr="001C6806">
        <w:rPr>
          <w:lang w:val="es-ES"/>
        </w:rPr>
        <w:t>Ejemplos de aplicación de las estrategias de diseño</w:t>
      </w:r>
    </w:p>
    <w:p w14:paraId="652C6E81" w14:textId="77777777" w:rsidR="00897C02" w:rsidRPr="001C6806" w:rsidRDefault="00897C02" w:rsidP="00A063C2">
      <w:pPr>
        <w:pStyle w:val="TextoNormal"/>
        <w:rPr>
          <w:lang w:val="es-ES"/>
        </w:rPr>
      </w:pPr>
    </w:p>
    <w:p w14:paraId="6AB62B48" w14:textId="75B50E30" w:rsidR="008A7C65" w:rsidRDefault="008A7C65" w:rsidP="007843A3">
      <w:pPr>
        <w:pStyle w:val="TextoNormal"/>
        <w:jc w:val="both"/>
        <w:rPr>
          <w:lang w:val="es-ES"/>
        </w:rPr>
      </w:pPr>
      <w:r>
        <w:rPr>
          <w:lang w:val="es-ES"/>
        </w:rPr>
        <w:t>Para ejemplificar lo disc</w:t>
      </w:r>
      <w:r w:rsidR="001B5740">
        <w:rPr>
          <w:lang w:val="es-ES"/>
        </w:rPr>
        <w:t>utido hasta ahora, h</w:t>
      </w:r>
      <w:r w:rsidR="001B5740" w:rsidRPr="001C6806">
        <w:rPr>
          <w:lang w:val="es-ES"/>
        </w:rPr>
        <w:t>emos seleccionado de la bibliografía varias actividades cuyo diseño incorpora estrategias de uno o más ejes, y las describimos a continuación con el objetivo de ejemplificar de qué modo el uso de ese tipo de estrategias permite transformar actividades. Las enumeramos en la Tabla 2 y las describimos a</w:t>
      </w:r>
      <w:r w:rsidR="007843A3">
        <w:rPr>
          <w:lang w:val="es-ES"/>
        </w:rPr>
        <w:t xml:space="preserve"> continuación.</w:t>
      </w:r>
    </w:p>
    <w:p w14:paraId="74983B1A" w14:textId="4C3744E5" w:rsidR="00E86EEC" w:rsidRPr="001C6806" w:rsidRDefault="00E86EEC" w:rsidP="007843A3">
      <w:pPr>
        <w:pStyle w:val="TextoNormal"/>
        <w:jc w:val="both"/>
        <w:rPr>
          <w:lang w:val="es-ES"/>
        </w:rPr>
      </w:pPr>
      <w:r w:rsidRPr="001C6806">
        <w:rPr>
          <w:lang w:val="es-ES"/>
        </w:rPr>
        <w:t>.</w:t>
      </w:r>
    </w:p>
    <w:p w14:paraId="0F205866" w14:textId="77777777" w:rsidR="00897C02" w:rsidRPr="001C6806" w:rsidRDefault="00897C02" w:rsidP="00A063C2">
      <w:pPr>
        <w:pStyle w:val="TextoNormal"/>
        <w:rPr>
          <w:lang w:val="es-ES"/>
        </w:rPr>
      </w:pPr>
    </w:p>
    <w:p w14:paraId="66EBEF95" w14:textId="77777777" w:rsidR="00897C02" w:rsidRPr="001C6806" w:rsidRDefault="00897C02" w:rsidP="00897C02">
      <w:pPr>
        <w:pStyle w:val="phmfigures"/>
        <w:spacing w:before="0"/>
        <w:ind w:firstLine="0"/>
        <w:rPr>
          <w:sz w:val="22"/>
          <w:lang w:val="es-ES"/>
        </w:rPr>
      </w:pPr>
      <w:r w:rsidRPr="001C6806">
        <w:rPr>
          <w:b/>
          <w:smallCaps/>
          <w:sz w:val="22"/>
          <w:lang w:val="es-ES"/>
        </w:rPr>
        <w:t xml:space="preserve">Tabla </w:t>
      </w:r>
      <w:r w:rsidRPr="001C6806">
        <w:rPr>
          <w:b/>
          <w:smallCaps/>
          <w:noProof w:val="0"/>
          <w:sz w:val="22"/>
          <w:lang w:val="es-ES"/>
        </w:rPr>
        <w:fldChar w:fldCharType="begin"/>
      </w:r>
      <w:r w:rsidRPr="001C6806">
        <w:rPr>
          <w:b/>
          <w:smallCaps/>
          <w:sz w:val="22"/>
          <w:lang w:val="es-ES"/>
        </w:rPr>
        <w:instrText xml:space="preserve"> SEQ Figure \* ARABIC </w:instrText>
      </w:r>
      <w:r w:rsidRPr="001C6806">
        <w:rPr>
          <w:b/>
          <w:smallCaps/>
          <w:noProof w:val="0"/>
          <w:sz w:val="22"/>
          <w:lang w:val="es-ES"/>
        </w:rPr>
        <w:fldChar w:fldCharType="separate"/>
      </w:r>
      <w:r w:rsidRPr="001C6806">
        <w:rPr>
          <w:b/>
          <w:smallCaps/>
          <w:sz w:val="22"/>
          <w:lang w:val="es-ES"/>
        </w:rPr>
        <w:t>2</w:t>
      </w:r>
      <w:r w:rsidRPr="001C6806">
        <w:rPr>
          <w:b/>
          <w:smallCaps/>
          <w:sz w:val="22"/>
          <w:lang w:val="es-ES"/>
        </w:rPr>
        <w:fldChar w:fldCharType="end"/>
      </w:r>
      <w:r w:rsidRPr="001C6806">
        <w:rPr>
          <w:b/>
          <w:smallCaps/>
          <w:sz w:val="22"/>
          <w:lang w:val="es-ES"/>
        </w:rPr>
        <w:t xml:space="preserve">. </w:t>
      </w:r>
      <w:r w:rsidRPr="001C6806">
        <w:rPr>
          <w:sz w:val="22"/>
          <w:lang w:val="es-ES"/>
        </w:rPr>
        <w:t>Actividades ejemplificadoras de los usos de estrategias de distintos ejes</w:t>
      </w:r>
    </w:p>
    <w:p w14:paraId="04531F9E" w14:textId="77777777" w:rsidR="00897C02" w:rsidRPr="001C6806" w:rsidRDefault="00897C02" w:rsidP="00897C02">
      <w:pPr>
        <w:pStyle w:val="phmfigures"/>
        <w:spacing w:before="0"/>
        <w:ind w:firstLine="0"/>
        <w:rPr>
          <w:lang w:val="es-ES"/>
        </w:rPr>
      </w:pPr>
    </w:p>
    <w:tbl>
      <w:tblPr>
        <w:tblStyle w:val="Tablanormal21"/>
        <w:tblW w:w="9276" w:type="dxa"/>
        <w:tblInd w:w="571" w:type="dxa"/>
        <w:tblLayout w:type="fixed"/>
        <w:tblLook w:val="0600" w:firstRow="0" w:lastRow="0" w:firstColumn="0" w:lastColumn="0" w:noHBand="1" w:noVBand="1"/>
      </w:tblPr>
      <w:tblGrid>
        <w:gridCol w:w="2089"/>
        <w:gridCol w:w="2423"/>
        <w:gridCol w:w="2382"/>
        <w:gridCol w:w="2382"/>
      </w:tblGrid>
      <w:tr w:rsidR="00897C02" w:rsidRPr="001C6806" w14:paraId="1EDADF56" w14:textId="77777777" w:rsidTr="007C3CAE">
        <w:trPr>
          <w:trHeight w:val="619"/>
        </w:trPr>
        <w:tc>
          <w:tcPr>
            <w:tcW w:w="2089" w:type="dxa"/>
            <w:tcBorders>
              <w:top w:val="single" w:sz="4" w:space="0" w:color="7F7F7F" w:themeColor="text1" w:themeTint="80"/>
              <w:bottom w:val="single" w:sz="2" w:space="0" w:color="7F7F7F" w:themeColor="text1" w:themeTint="80"/>
            </w:tcBorders>
            <w:vAlign w:val="center"/>
          </w:tcPr>
          <w:p w14:paraId="03F0A6E0" w14:textId="77777777" w:rsidR="00897C02" w:rsidRPr="001C6806" w:rsidRDefault="00897C02" w:rsidP="00654E29">
            <w:pPr>
              <w:pStyle w:val="Textotabla"/>
            </w:pPr>
            <w:r w:rsidRPr="001C6806">
              <w:t>Actividades</w:t>
            </w:r>
          </w:p>
        </w:tc>
        <w:tc>
          <w:tcPr>
            <w:tcW w:w="2423" w:type="dxa"/>
            <w:tcBorders>
              <w:top w:val="single" w:sz="4" w:space="0" w:color="7F7F7F" w:themeColor="text1" w:themeTint="80"/>
              <w:bottom w:val="single" w:sz="2" w:space="0" w:color="7F7F7F" w:themeColor="text1" w:themeTint="80"/>
            </w:tcBorders>
            <w:vAlign w:val="center"/>
          </w:tcPr>
          <w:p w14:paraId="423E94E0" w14:textId="77777777" w:rsidR="00897C02" w:rsidRPr="001C6806" w:rsidRDefault="00897C02" w:rsidP="00897C02">
            <w:pPr>
              <w:pStyle w:val="Textotabla"/>
            </w:pPr>
            <w:r w:rsidRPr="001C6806">
              <w:t xml:space="preserve">Argumentación </w:t>
            </w:r>
          </w:p>
        </w:tc>
        <w:tc>
          <w:tcPr>
            <w:tcW w:w="2382" w:type="dxa"/>
            <w:tcBorders>
              <w:top w:val="single" w:sz="4" w:space="0" w:color="7F7F7F" w:themeColor="text1" w:themeTint="80"/>
              <w:bottom w:val="single" w:sz="2" w:space="0" w:color="7F7F7F" w:themeColor="text1" w:themeTint="80"/>
            </w:tcBorders>
            <w:vAlign w:val="center"/>
          </w:tcPr>
          <w:p w14:paraId="75E2235F" w14:textId="49572010" w:rsidR="00897C02" w:rsidRPr="001C6806" w:rsidRDefault="00897C02" w:rsidP="00654E29">
            <w:pPr>
              <w:pStyle w:val="Textotabla"/>
            </w:pPr>
            <w:r w:rsidRPr="001C6806">
              <w:t xml:space="preserve">Naturaleza de la </w:t>
            </w:r>
            <w:r w:rsidR="007843A3">
              <w:t>Ciencia</w:t>
            </w:r>
          </w:p>
        </w:tc>
        <w:tc>
          <w:tcPr>
            <w:tcW w:w="2382" w:type="dxa"/>
            <w:tcBorders>
              <w:top w:val="single" w:sz="4" w:space="0" w:color="7F7F7F" w:themeColor="text1" w:themeTint="80"/>
              <w:bottom w:val="single" w:sz="2" w:space="0" w:color="7F7F7F" w:themeColor="text1" w:themeTint="80"/>
            </w:tcBorders>
            <w:vAlign w:val="center"/>
          </w:tcPr>
          <w:p w14:paraId="7F73F715" w14:textId="77777777" w:rsidR="00897C02" w:rsidRPr="001C6806" w:rsidRDefault="00897C02" w:rsidP="00654E29">
            <w:pPr>
              <w:pStyle w:val="Textotabla"/>
            </w:pPr>
            <w:r w:rsidRPr="001C6806">
              <w:t>Cognición Epistémica</w:t>
            </w:r>
          </w:p>
        </w:tc>
      </w:tr>
      <w:tr w:rsidR="00897C02" w:rsidRPr="001C6806" w14:paraId="6F87034E" w14:textId="77777777" w:rsidTr="007C3CAE">
        <w:trPr>
          <w:trHeight w:val="619"/>
        </w:trPr>
        <w:tc>
          <w:tcPr>
            <w:tcW w:w="2089" w:type="dxa"/>
            <w:tcBorders>
              <w:top w:val="single" w:sz="4" w:space="0" w:color="7F7F7F" w:themeColor="text1" w:themeTint="80"/>
              <w:bottom w:val="single" w:sz="2" w:space="0" w:color="7F7F7F" w:themeColor="text1" w:themeTint="80"/>
            </w:tcBorders>
            <w:vAlign w:val="center"/>
          </w:tcPr>
          <w:p w14:paraId="4DB69FB6" w14:textId="77777777" w:rsidR="00897C02" w:rsidRPr="001C6806" w:rsidRDefault="00897C02" w:rsidP="00654E29">
            <w:pPr>
              <w:pStyle w:val="Textotabla"/>
            </w:pPr>
            <w:r w:rsidRPr="001C6806">
              <w:t>1. Fuerzas y flotación</w:t>
            </w:r>
          </w:p>
        </w:tc>
        <w:tc>
          <w:tcPr>
            <w:tcW w:w="2423" w:type="dxa"/>
            <w:tcBorders>
              <w:top w:val="single" w:sz="4" w:space="0" w:color="7F7F7F" w:themeColor="text1" w:themeTint="80"/>
              <w:bottom w:val="single" w:sz="2" w:space="0" w:color="7F7F7F" w:themeColor="text1" w:themeTint="80"/>
            </w:tcBorders>
            <w:vAlign w:val="center"/>
          </w:tcPr>
          <w:p w14:paraId="7219EF2B" w14:textId="77777777" w:rsidR="00897C02" w:rsidRPr="001C6806" w:rsidRDefault="00897C02" w:rsidP="00654E29">
            <w:pPr>
              <w:pStyle w:val="Textotabla"/>
            </w:pPr>
            <w:r w:rsidRPr="001C6806">
              <w:t>x</w:t>
            </w:r>
          </w:p>
        </w:tc>
        <w:tc>
          <w:tcPr>
            <w:tcW w:w="2382" w:type="dxa"/>
            <w:tcBorders>
              <w:top w:val="single" w:sz="4" w:space="0" w:color="7F7F7F" w:themeColor="text1" w:themeTint="80"/>
              <w:bottom w:val="single" w:sz="2" w:space="0" w:color="7F7F7F" w:themeColor="text1" w:themeTint="80"/>
            </w:tcBorders>
            <w:vAlign w:val="center"/>
          </w:tcPr>
          <w:p w14:paraId="67F92D98" w14:textId="77777777" w:rsidR="00897C02" w:rsidRPr="001C6806" w:rsidRDefault="00897C02" w:rsidP="00654E29">
            <w:pPr>
              <w:pStyle w:val="Textotabla"/>
            </w:pPr>
          </w:p>
        </w:tc>
        <w:tc>
          <w:tcPr>
            <w:tcW w:w="2382" w:type="dxa"/>
            <w:tcBorders>
              <w:top w:val="single" w:sz="4" w:space="0" w:color="7F7F7F" w:themeColor="text1" w:themeTint="80"/>
              <w:bottom w:val="single" w:sz="2" w:space="0" w:color="7F7F7F" w:themeColor="text1" w:themeTint="80"/>
            </w:tcBorders>
            <w:vAlign w:val="center"/>
          </w:tcPr>
          <w:p w14:paraId="5D570C7D" w14:textId="77777777" w:rsidR="00897C02" w:rsidRPr="001C6806" w:rsidRDefault="00897C02" w:rsidP="00654E29">
            <w:pPr>
              <w:pStyle w:val="Textotabla"/>
            </w:pPr>
            <w:r w:rsidRPr="001C6806">
              <w:t>x</w:t>
            </w:r>
          </w:p>
        </w:tc>
      </w:tr>
      <w:tr w:rsidR="00897C02" w:rsidRPr="001C6806" w14:paraId="1B8599EA" w14:textId="77777777" w:rsidTr="007C3CAE">
        <w:trPr>
          <w:trHeight w:val="619"/>
        </w:trPr>
        <w:tc>
          <w:tcPr>
            <w:tcW w:w="2089" w:type="dxa"/>
            <w:tcBorders>
              <w:top w:val="single" w:sz="4" w:space="0" w:color="7F7F7F" w:themeColor="text1" w:themeTint="80"/>
              <w:bottom w:val="single" w:sz="2" w:space="0" w:color="7F7F7F" w:themeColor="text1" w:themeTint="80"/>
            </w:tcBorders>
            <w:vAlign w:val="center"/>
          </w:tcPr>
          <w:p w14:paraId="2996B6C2" w14:textId="77777777" w:rsidR="00897C02" w:rsidRPr="001C6806" w:rsidRDefault="00897C02" w:rsidP="00654E29">
            <w:pPr>
              <w:pStyle w:val="Textotabla"/>
            </w:pPr>
            <w:r w:rsidRPr="001C6806">
              <w:t>2. Estructura del átomo</w:t>
            </w:r>
          </w:p>
        </w:tc>
        <w:tc>
          <w:tcPr>
            <w:tcW w:w="2423" w:type="dxa"/>
            <w:tcBorders>
              <w:top w:val="single" w:sz="4" w:space="0" w:color="7F7F7F" w:themeColor="text1" w:themeTint="80"/>
              <w:bottom w:val="single" w:sz="2" w:space="0" w:color="7F7F7F" w:themeColor="text1" w:themeTint="80"/>
            </w:tcBorders>
            <w:vAlign w:val="center"/>
          </w:tcPr>
          <w:p w14:paraId="15EDE7DA" w14:textId="77777777" w:rsidR="00897C02" w:rsidRPr="001C6806" w:rsidRDefault="00897C02" w:rsidP="00654E29">
            <w:pPr>
              <w:pStyle w:val="Textotabla"/>
            </w:pPr>
            <w:r w:rsidRPr="001C6806">
              <w:t>x</w:t>
            </w:r>
          </w:p>
        </w:tc>
        <w:tc>
          <w:tcPr>
            <w:tcW w:w="2382" w:type="dxa"/>
            <w:tcBorders>
              <w:top w:val="single" w:sz="4" w:space="0" w:color="7F7F7F" w:themeColor="text1" w:themeTint="80"/>
              <w:bottom w:val="single" w:sz="2" w:space="0" w:color="7F7F7F" w:themeColor="text1" w:themeTint="80"/>
            </w:tcBorders>
            <w:vAlign w:val="center"/>
          </w:tcPr>
          <w:p w14:paraId="62E45296" w14:textId="77777777" w:rsidR="00897C02" w:rsidRPr="001C6806" w:rsidRDefault="00897C02" w:rsidP="00654E29">
            <w:pPr>
              <w:pStyle w:val="Textotabla"/>
            </w:pPr>
            <w:r w:rsidRPr="001C6806">
              <w:t>x</w:t>
            </w:r>
          </w:p>
        </w:tc>
        <w:tc>
          <w:tcPr>
            <w:tcW w:w="2382" w:type="dxa"/>
            <w:tcBorders>
              <w:top w:val="single" w:sz="4" w:space="0" w:color="7F7F7F" w:themeColor="text1" w:themeTint="80"/>
              <w:bottom w:val="single" w:sz="2" w:space="0" w:color="7F7F7F" w:themeColor="text1" w:themeTint="80"/>
            </w:tcBorders>
            <w:vAlign w:val="center"/>
          </w:tcPr>
          <w:p w14:paraId="6C412DC4" w14:textId="77777777" w:rsidR="00897C02" w:rsidRPr="001C6806" w:rsidRDefault="00897C02" w:rsidP="00654E29">
            <w:pPr>
              <w:pStyle w:val="Textotabla"/>
            </w:pPr>
          </w:p>
        </w:tc>
      </w:tr>
      <w:tr w:rsidR="00897C02" w:rsidRPr="001C6806" w14:paraId="0C3F6218" w14:textId="77777777" w:rsidTr="007C3CAE">
        <w:trPr>
          <w:trHeight w:val="619"/>
        </w:trPr>
        <w:tc>
          <w:tcPr>
            <w:tcW w:w="2089" w:type="dxa"/>
            <w:tcBorders>
              <w:top w:val="single" w:sz="4" w:space="0" w:color="7F7F7F" w:themeColor="text1" w:themeTint="80"/>
              <w:bottom w:val="single" w:sz="2" w:space="0" w:color="7F7F7F" w:themeColor="text1" w:themeTint="80"/>
            </w:tcBorders>
            <w:vAlign w:val="center"/>
          </w:tcPr>
          <w:p w14:paraId="6F6E5416" w14:textId="77777777" w:rsidR="00897C02" w:rsidRPr="001C6806" w:rsidRDefault="00897C02" w:rsidP="00654E29">
            <w:pPr>
              <w:pStyle w:val="Textotabla"/>
            </w:pPr>
            <w:r w:rsidRPr="001C6806">
              <w:t>3. Yacimientos y evolución</w:t>
            </w:r>
          </w:p>
        </w:tc>
        <w:tc>
          <w:tcPr>
            <w:tcW w:w="2423" w:type="dxa"/>
            <w:tcBorders>
              <w:top w:val="single" w:sz="4" w:space="0" w:color="7F7F7F" w:themeColor="text1" w:themeTint="80"/>
              <w:bottom w:val="single" w:sz="2" w:space="0" w:color="7F7F7F" w:themeColor="text1" w:themeTint="80"/>
            </w:tcBorders>
            <w:vAlign w:val="center"/>
          </w:tcPr>
          <w:p w14:paraId="769CC507" w14:textId="77777777" w:rsidR="00897C02" w:rsidRPr="001C6806" w:rsidRDefault="00897C02" w:rsidP="00654E29">
            <w:pPr>
              <w:pStyle w:val="Textotabla"/>
            </w:pPr>
            <w:r w:rsidRPr="001C6806">
              <w:t>x</w:t>
            </w:r>
          </w:p>
        </w:tc>
        <w:tc>
          <w:tcPr>
            <w:tcW w:w="2382" w:type="dxa"/>
            <w:tcBorders>
              <w:top w:val="single" w:sz="4" w:space="0" w:color="7F7F7F" w:themeColor="text1" w:themeTint="80"/>
              <w:bottom w:val="single" w:sz="2" w:space="0" w:color="7F7F7F" w:themeColor="text1" w:themeTint="80"/>
            </w:tcBorders>
            <w:vAlign w:val="center"/>
          </w:tcPr>
          <w:p w14:paraId="773F9341" w14:textId="77777777" w:rsidR="00897C02" w:rsidRPr="001C6806" w:rsidRDefault="00897C02" w:rsidP="00654E29">
            <w:pPr>
              <w:pStyle w:val="Textotabla"/>
            </w:pPr>
            <w:r w:rsidRPr="001C6806">
              <w:t>x</w:t>
            </w:r>
          </w:p>
        </w:tc>
        <w:tc>
          <w:tcPr>
            <w:tcW w:w="2382" w:type="dxa"/>
            <w:tcBorders>
              <w:top w:val="single" w:sz="4" w:space="0" w:color="7F7F7F" w:themeColor="text1" w:themeTint="80"/>
              <w:bottom w:val="single" w:sz="2" w:space="0" w:color="7F7F7F" w:themeColor="text1" w:themeTint="80"/>
            </w:tcBorders>
            <w:vAlign w:val="center"/>
          </w:tcPr>
          <w:p w14:paraId="5D010C3D" w14:textId="77777777" w:rsidR="00897C02" w:rsidRPr="001C6806" w:rsidRDefault="00897C02" w:rsidP="00654E29">
            <w:pPr>
              <w:pStyle w:val="Textotabla"/>
            </w:pPr>
            <w:r w:rsidRPr="001C6806">
              <w:t>x</w:t>
            </w:r>
          </w:p>
        </w:tc>
      </w:tr>
      <w:tr w:rsidR="00897C02" w:rsidRPr="001C6806" w14:paraId="5F84EACA" w14:textId="77777777" w:rsidTr="007C3CAE">
        <w:trPr>
          <w:trHeight w:val="619"/>
        </w:trPr>
        <w:tc>
          <w:tcPr>
            <w:tcW w:w="2089" w:type="dxa"/>
            <w:tcBorders>
              <w:top w:val="single" w:sz="4" w:space="0" w:color="7F7F7F" w:themeColor="text1" w:themeTint="80"/>
              <w:bottom w:val="single" w:sz="2" w:space="0" w:color="7F7F7F" w:themeColor="text1" w:themeTint="80"/>
            </w:tcBorders>
            <w:vAlign w:val="center"/>
          </w:tcPr>
          <w:p w14:paraId="76A2F5B4" w14:textId="77777777" w:rsidR="00897C02" w:rsidRPr="001C6806" w:rsidRDefault="00897C02" w:rsidP="007C3CAE">
            <w:pPr>
              <w:pStyle w:val="Textotabla"/>
            </w:pPr>
            <w:r w:rsidRPr="001C6806">
              <w:t xml:space="preserve">4. </w:t>
            </w:r>
            <w:r w:rsidR="007C3CAE" w:rsidRPr="001C6806">
              <w:t>Microorganismos e infección</w:t>
            </w:r>
          </w:p>
        </w:tc>
        <w:tc>
          <w:tcPr>
            <w:tcW w:w="2423" w:type="dxa"/>
            <w:tcBorders>
              <w:top w:val="single" w:sz="4" w:space="0" w:color="7F7F7F" w:themeColor="text1" w:themeTint="80"/>
              <w:bottom w:val="single" w:sz="2" w:space="0" w:color="7F7F7F" w:themeColor="text1" w:themeTint="80"/>
            </w:tcBorders>
            <w:vAlign w:val="center"/>
          </w:tcPr>
          <w:p w14:paraId="64B8E310" w14:textId="77777777" w:rsidR="00897C02" w:rsidRPr="001C6806" w:rsidRDefault="00897C02" w:rsidP="00654E29">
            <w:pPr>
              <w:pStyle w:val="Textotabla"/>
            </w:pPr>
            <w:r w:rsidRPr="001C6806">
              <w:t>x</w:t>
            </w:r>
          </w:p>
        </w:tc>
        <w:tc>
          <w:tcPr>
            <w:tcW w:w="2382" w:type="dxa"/>
            <w:tcBorders>
              <w:top w:val="single" w:sz="4" w:space="0" w:color="7F7F7F" w:themeColor="text1" w:themeTint="80"/>
              <w:bottom w:val="single" w:sz="2" w:space="0" w:color="7F7F7F" w:themeColor="text1" w:themeTint="80"/>
            </w:tcBorders>
            <w:vAlign w:val="center"/>
          </w:tcPr>
          <w:p w14:paraId="23EBD393" w14:textId="77777777" w:rsidR="00897C02" w:rsidRPr="001C6806" w:rsidRDefault="00CF6121" w:rsidP="00654E29">
            <w:pPr>
              <w:pStyle w:val="Textotabla"/>
            </w:pPr>
            <w:r w:rsidRPr="001C6806">
              <w:t>x</w:t>
            </w:r>
          </w:p>
        </w:tc>
        <w:tc>
          <w:tcPr>
            <w:tcW w:w="2382" w:type="dxa"/>
            <w:tcBorders>
              <w:top w:val="single" w:sz="4" w:space="0" w:color="7F7F7F" w:themeColor="text1" w:themeTint="80"/>
              <w:bottom w:val="single" w:sz="2" w:space="0" w:color="7F7F7F" w:themeColor="text1" w:themeTint="80"/>
            </w:tcBorders>
            <w:vAlign w:val="center"/>
          </w:tcPr>
          <w:p w14:paraId="2920846C" w14:textId="77777777" w:rsidR="00897C02" w:rsidRPr="001C6806" w:rsidRDefault="00897C02" w:rsidP="00654E29">
            <w:pPr>
              <w:pStyle w:val="Textotabla"/>
            </w:pPr>
          </w:p>
        </w:tc>
      </w:tr>
      <w:tr w:rsidR="00897C02" w:rsidRPr="001C6806" w14:paraId="49C66E7F" w14:textId="77777777" w:rsidTr="007C3CAE">
        <w:trPr>
          <w:trHeight w:val="619"/>
        </w:trPr>
        <w:tc>
          <w:tcPr>
            <w:tcW w:w="2089" w:type="dxa"/>
            <w:tcBorders>
              <w:top w:val="single" w:sz="4" w:space="0" w:color="7F7F7F" w:themeColor="text1" w:themeTint="80"/>
              <w:bottom w:val="single" w:sz="2" w:space="0" w:color="7F7F7F" w:themeColor="text1" w:themeTint="80"/>
            </w:tcBorders>
            <w:vAlign w:val="center"/>
          </w:tcPr>
          <w:p w14:paraId="09303322" w14:textId="77777777" w:rsidR="00897C02" w:rsidRPr="001C6806" w:rsidRDefault="00897C02" w:rsidP="00654E29">
            <w:pPr>
              <w:pStyle w:val="Textotabla"/>
            </w:pPr>
            <w:r w:rsidRPr="001C6806">
              <w:lastRenderedPageBreak/>
              <w:t>5. Vacunas</w:t>
            </w:r>
          </w:p>
        </w:tc>
        <w:tc>
          <w:tcPr>
            <w:tcW w:w="2423" w:type="dxa"/>
            <w:tcBorders>
              <w:top w:val="single" w:sz="4" w:space="0" w:color="7F7F7F" w:themeColor="text1" w:themeTint="80"/>
              <w:bottom w:val="single" w:sz="2" w:space="0" w:color="7F7F7F" w:themeColor="text1" w:themeTint="80"/>
            </w:tcBorders>
            <w:vAlign w:val="center"/>
          </w:tcPr>
          <w:p w14:paraId="19265A79" w14:textId="77777777" w:rsidR="00897C02" w:rsidRPr="001C6806" w:rsidRDefault="00897C02" w:rsidP="00654E29">
            <w:pPr>
              <w:pStyle w:val="Textotabla"/>
            </w:pPr>
          </w:p>
        </w:tc>
        <w:tc>
          <w:tcPr>
            <w:tcW w:w="2382" w:type="dxa"/>
            <w:tcBorders>
              <w:top w:val="single" w:sz="4" w:space="0" w:color="7F7F7F" w:themeColor="text1" w:themeTint="80"/>
              <w:bottom w:val="single" w:sz="2" w:space="0" w:color="7F7F7F" w:themeColor="text1" w:themeTint="80"/>
            </w:tcBorders>
            <w:vAlign w:val="center"/>
          </w:tcPr>
          <w:p w14:paraId="6F69937E" w14:textId="77777777" w:rsidR="00897C02" w:rsidRPr="001C6806" w:rsidRDefault="00897C02" w:rsidP="00654E29">
            <w:pPr>
              <w:pStyle w:val="Textotabla"/>
            </w:pPr>
            <w:r w:rsidRPr="001C6806">
              <w:t>x</w:t>
            </w:r>
          </w:p>
        </w:tc>
        <w:tc>
          <w:tcPr>
            <w:tcW w:w="2382" w:type="dxa"/>
            <w:tcBorders>
              <w:top w:val="single" w:sz="4" w:space="0" w:color="7F7F7F" w:themeColor="text1" w:themeTint="80"/>
              <w:bottom w:val="single" w:sz="2" w:space="0" w:color="7F7F7F" w:themeColor="text1" w:themeTint="80"/>
            </w:tcBorders>
            <w:vAlign w:val="center"/>
          </w:tcPr>
          <w:p w14:paraId="404C4A2D" w14:textId="77777777" w:rsidR="00897C02" w:rsidRPr="001C6806" w:rsidRDefault="00897C02" w:rsidP="00654E29">
            <w:pPr>
              <w:pStyle w:val="Textotabla"/>
            </w:pPr>
            <w:r w:rsidRPr="001C6806">
              <w:t>x</w:t>
            </w:r>
          </w:p>
        </w:tc>
      </w:tr>
    </w:tbl>
    <w:p w14:paraId="5C89E948" w14:textId="77777777" w:rsidR="00E86EEC" w:rsidRPr="001C6806" w:rsidRDefault="00E86EEC" w:rsidP="00A063C2">
      <w:pPr>
        <w:pStyle w:val="TextoNormal"/>
        <w:rPr>
          <w:lang w:val="es-ES"/>
        </w:rPr>
      </w:pPr>
    </w:p>
    <w:p w14:paraId="31C7659E" w14:textId="77777777" w:rsidR="00E86EEC" w:rsidRPr="001C6806" w:rsidRDefault="00E86EEC" w:rsidP="00A063C2">
      <w:pPr>
        <w:pStyle w:val="TextoNormal"/>
        <w:rPr>
          <w:lang w:val="es-ES"/>
        </w:rPr>
      </w:pPr>
    </w:p>
    <w:p w14:paraId="49923EE8" w14:textId="77777777" w:rsidR="00C2726E" w:rsidRPr="001C6806" w:rsidRDefault="00C2726E" w:rsidP="00C2726E">
      <w:pPr>
        <w:pStyle w:val="Titulodelapartado"/>
        <w:numPr>
          <w:ilvl w:val="1"/>
          <w:numId w:val="8"/>
        </w:numPr>
        <w:rPr>
          <w:lang w:val="es-ES"/>
        </w:rPr>
      </w:pPr>
      <w:r w:rsidRPr="001C6806">
        <w:rPr>
          <w:lang w:val="es-ES"/>
        </w:rPr>
        <w:t xml:space="preserve">Validando interpretaciones sobre flotación </w:t>
      </w:r>
    </w:p>
    <w:p w14:paraId="0A842253" w14:textId="77777777" w:rsidR="00C2726E" w:rsidRPr="001C6806" w:rsidRDefault="00C2726E" w:rsidP="00C2726E">
      <w:pPr>
        <w:pStyle w:val="TextoNormal"/>
        <w:rPr>
          <w:lang w:val="es-ES"/>
        </w:rPr>
      </w:pPr>
    </w:p>
    <w:p w14:paraId="0A258E0A" w14:textId="77777777" w:rsidR="00C2726E" w:rsidRPr="001C6806" w:rsidRDefault="00C2726E" w:rsidP="007843A3">
      <w:pPr>
        <w:pStyle w:val="TextoNormal"/>
        <w:jc w:val="both"/>
        <w:rPr>
          <w:lang w:val="es-ES"/>
        </w:rPr>
      </w:pPr>
      <w:r w:rsidRPr="001C6806">
        <w:rPr>
          <w:lang w:val="es-ES"/>
        </w:rPr>
        <w:t xml:space="preserve">Muchas veces la física se presenta como una abstracción con la que es difícil que el alumno puede interpretar fenómenos cotidianos, cosa que es paradójica, ya que la física justamente se dedica a interpretar fenómenos físicos. Un ejemplo es el trabajo con la dinámica, que suele incorporar el cálculo de fuerzas resultantes de situaciones muy complejas, pero en cambio no puede predecir si el valor que marcará la báscula será superior si nos subimos a ella y la apretamos con un bastón. </w:t>
      </w:r>
    </w:p>
    <w:p w14:paraId="5DC6DED6" w14:textId="77777777" w:rsidR="00C2726E" w:rsidRDefault="00C2726E" w:rsidP="007843A3">
      <w:pPr>
        <w:pStyle w:val="TextoNormal"/>
        <w:jc w:val="both"/>
        <w:rPr>
          <w:i/>
          <w:lang w:val="es-ES"/>
        </w:rPr>
      </w:pPr>
      <w:r w:rsidRPr="001C6806">
        <w:rPr>
          <w:lang w:val="es-ES"/>
        </w:rPr>
        <w:t>La conexión de los modelos científicos con la toma de decisiones puede conseguirse usando algunas de las estrategias propuestas para los ejes de Argumentación y Cognición Epistémica</w:t>
      </w:r>
      <w:r w:rsidRPr="001C6806">
        <w:rPr>
          <w:i/>
          <w:lang w:val="es-ES"/>
        </w:rPr>
        <w:t xml:space="preserve">: </w:t>
      </w:r>
    </w:p>
    <w:p w14:paraId="315FA357" w14:textId="77777777" w:rsidR="00654E29" w:rsidRPr="001C6806" w:rsidRDefault="00654E29" w:rsidP="007843A3">
      <w:pPr>
        <w:pStyle w:val="TextoNormal"/>
        <w:jc w:val="both"/>
        <w:rPr>
          <w:i/>
          <w:lang w:val="es-ES"/>
        </w:rPr>
      </w:pPr>
    </w:p>
    <w:p w14:paraId="3D0A1427" w14:textId="77777777" w:rsidR="00C2726E" w:rsidRDefault="00C2726E" w:rsidP="007843A3">
      <w:pPr>
        <w:pStyle w:val="Citatextual"/>
        <w:jc w:val="both"/>
        <w:rPr>
          <w:i/>
          <w:color w:val="auto"/>
          <w:lang w:val="es-ES"/>
        </w:rPr>
      </w:pPr>
      <w:r w:rsidRPr="001C6806">
        <w:rPr>
          <w:i/>
          <w:color w:val="auto"/>
          <w:lang w:val="es-ES"/>
        </w:rPr>
        <w:t>¿Se analizan pruebas de distintos tipos para interpretarlas? ¿Se usan pruebas para determinar qué modelo/decisión es más coherente/pertinente? ¿Se identifican intereses o roles? ¿Se realizan contrastes de ventajas/inconvenientes o riesgos?</w:t>
      </w:r>
    </w:p>
    <w:p w14:paraId="46B3E3F3" w14:textId="77777777" w:rsidR="00654E29" w:rsidRPr="001C6806" w:rsidRDefault="00654E29" w:rsidP="007843A3">
      <w:pPr>
        <w:pStyle w:val="Citatextual"/>
        <w:jc w:val="both"/>
        <w:rPr>
          <w:i/>
          <w:color w:val="auto"/>
          <w:lang w:val="es-ES"/>
        </w:rPr>
      </w:pPr>
    </w:p>
    <w:p w14:paraId="7E3CBB90" w14:textId="69BFDFF5" w:rsidR="00C2726E" w:rsidRPr="001C6806" w:rsidRDefault="001B5740" w:rsidP="007843A3">
      <w:pPr>
        <w:pStyle w:val="TextoNormal"/>
        <w:jc w:val="both"/>
        <w:rPr>
          <w:lang w:val="es-ES"/>
        </w:rPr>
      </w:pPr>
      <w:r>
        <w:rPr>
          <w:lang w:val="es-ES"/>
        </w:rPr>
        <w:t>En l</w:t>
      </w:r>
      <w:r w:rsidRPr="001C6806">
        <w:rPr>
          <w:lang w:val="es-ES"/>
        </w:rPr>
        <w:t>a actividad “</w:t>
      </w:r>
      <w:r w:rsidRPr="00F13026">
        <w:rPr>
          <w:i/>
          <w:lang w:val="es-ES"/>
        </w:rPr>
        <w:t>Continúa la polémica por los bañadores Speedo</w:t>
      </w:r>
      <w:r w:rsidRPr="001C6806">
        <w:rPr>
          <w:lang w:val="es-ES"/>
        </w:rPr>
        <w:t>” (Oliveras y Sanmartí, 2008)</w:t>
      </w:r>
      <w:r w:rsidR="00C2726E" w:rsidRPr="001C6806">
        <w:rPr>
          <w:lang w:val="es-ES"/>
        </w:rPr>
        <w:t xml:space="preserve">, se </w:t>
      </w:r>
      <w:r>
        <w:rPr>
          <w:lang w:val="es-ES"/>
        </w:rPr>
        <w:t>propone</w:t>
      </w:r>
      <w:r w:rsidR="00C2726E" w:rsidRPr="001C6806">
        <w:rPr>
          <w:lang w:val="es-ES"/>
        </w:rPr>
        <w:t xml:space="preserve"> una aplicación del modelo científico trabajado en clase (fuerzas y flotación) para, desarrollar un ejercicio de lectura crítica de una noticia de prensa.</w:t>
      </w:r>
      <w:r>
        <w:rPr>
          <w:lang w:val="es-ES"/>
        </w:rPr>
        <w:t xml:space="preserve"> Las autoras</w:t>
      </w:r>
      <w:r w:rsidR="00043370">
        <w:rPr>
          <w:lang w:val="es-ES"/>
        </w:rPr>
        <w:t xml:space="preserve"> </w:t>
      </w:r>
      <w:r w:rsidR="00C2726E" w:rsidRPr="001C6806">
        <w:rPr>
          <w:lang w:val="es-ES"/>
        </w:rPr>
        <w:t>empieza</w:t>
      </w:r>
      <w:r>
        <w:rPr>
          <w:lang w:val="es-ES"/>
        </w:rPr>
        <w:t xml:space="preserve">n </w:t>
      </w:r>
      <w:r w:rsidR="00C2726E" w:rsidRPr="001C6806">
        <w:rPr>
          <w:lang w:val="es-ES"/>
        </w:rPr>
        <w:t>promoviendo que el alumnado reflexione sobre el título y escriba su opinión y valore los intereses del autor del texto</w:t>
      </w:r>
      <w:r>
        <w:rPr>
          <w:lang w:val="es-ES"/>
        </w:rPr>
        <w:t xml:space="preserve">- </w:t>
      </w:r>
      <w:r w:rsidR="00C2726E" w:rsidRPr="001C6806">
        <w:rPr>
          <w:lang w:val="es-ES"/>
        </w:rPr>
        <w:t>También les pide una validación de los datos aportados pidiendo que hagan una búsqueda en Internet. Posteriormente les pide una interpretación de los datos y que elaboren una argumentación para justificar si estos bañadores deben ser aprobados o no</w:t>
      </w:r>
      <w:r>
        <w:rPr>
          <w:lang w:val="es-ES"/>
        </w:rPr>
        <w:t>, usando el modelo de fuerzas y flotación.</w:t>
      </w:r>
    </w:p>
    <w:p w14:paraId="7AF47ECB" w14:textId="77777777" w:rsidR="00C2726E" w:rsidRDefault="00C2726E" w:rsidP="007843A3">
      <w:pPr>
        <w:pStyle w:val="TextoNormal"/>
        <w:jc w:val="both"/>
        <w:rPr>
          <w:lang w:val="es-ES"/>
        </w:rPr>
      </w:pPr>
    </w:p>
    <w:p w14:paraId="10B118C7" w14:textId="77777777" w:rsidR="00C2726E" w:rsidRPr="001C6806" w:rsidRDefault="00C2726E" w:rsidP="007843A3">
      <w:pPr>
        <w:pStyle w:val="Titulodelapartado"/>
        <w:numPr>
          <w:ilvl w:val="1"/>
          <w:numId w:val="8"/>
        </w:numPr>
        <w:jc w:val="both"/>
        <w:rPr>
          <w:lang w:val="es-ES"/>
        </w:rPr>
      </w:pPr>
      <w:r w:rsidRPr="001C6806">
        <w:rPr>
          <w:lang w:val="es-ES"/>
        </w:rPr>
        <w:t>La estructura del átomo</w:t>
      </w:r>
    </w:p>
    <w:p w14:paraId="7510347A" w14:textId="77777777" w:rsidR="00C2726E" w:rsidRPr="001C6806" w:rsidRDefault="00C2726E" w:rsidP="007843A3">
      <w:pPr>
        <w:pStyle w:val="TextoNormal"/>
        <w:jc w:val="both"/>
        <w:rPr>
          <w:lang w:val="es-ES"/>
        </w:rPr>
      </w:pPr>
    </w:p>
    <w:p w14:paraId="09BA1047" w14:textId="10F7DADD" w:rsidR="00C2726E" w:rsidRDefault="00C2726E" w:rsidP="007843A3">
      <w:pPr>
        <w:pStyle w:val="TextoNormal"/>
        <w:jc w:val="both"/>
        <w:rPr>
          <w:lang w:val="es-ES"/>
        </w:rPr>
      </w:pPr>
      <w:r w:rsidRPr="001C6806">
        <w:rPr>
          <w:lang w:val="es-ES"/>
        </w:rPr>
        <w:t xml:space="preserve">Al trabajar la estructura y propiedades de la materia, una propuesta suele ser explicar los distintos modelos de átomo que se han propuesto a lo largo de la Historia de la </w:t>
      </w:r>
      <w:r w:rsidR="007843A3">
        <w:rPr>
          <w:lang w:val="es-ES"/>
        </w:rPr>
        <w:t>Ciencia</w:t>
      </w:r>
      <w:r w:rsidRPr="001C6806">
        <w:rPr>
          <w:lang w:val="es-ES"/>
        </w:rPr>
        <w:t xml:space="preserve">: Dalton, Rutherford, Böhr… Aunque este enfoque alude explícitamente al proceso histórico, excluye los mecanismos epistémicos de esos cambios de modelo. Si interpelamos el diseño de esta práctica de aula desde los ejes de Naturaleza de la </w:t>
      </w:r>
      <w:r w:rsidR="007843A3">
        <w:rPr>
          <w:lang w:val="es-ES"/>
        </w:rPr>
        <w:t>Ciencia</w:t>
      </w:r>
      <w:r w:rsidRPr="001C6806">
        <w:rPr>
          <w:lang w:val="es-ES"/>
        </w:rPr>
        <w:t xml:space="preserve"> y la Argumentación, podemos plantearnos: </w:t>
      </w:r>
    </w:p>
    <w:p w14:paraId="420F3342" w14:textId="77777777" w:rsidR="00654E29" w:rsidRPr="001C6806" w:rsidRDefault="00654E29" w:rsidP="007843A3">
      <w:pPr>
        <w:pStyle w:val="TextoNormal"/>
        <w:jc w:val="both"/>
        <w:rPr>
          <w:lang w:val="es-ES"/>
        </w:rPr>
      </w:pPr>
    </w:p>
    <w:p w14:paraId="5C2E3F0B" w14:textId="77777777" w:rsidR="00C2726E" w:rsidRDefault="00C2726E" w:rsidP="007843A3">
      <w:pPr>
        <w:pStyle w:val="Citatextual"/>
        <w:jc w:val="both"/>
        <w:rPr>
          <w:i/>
          <w:color w:val="auto"/>
          <w:lang w:val="es-ES"/>
        </w:rPr>
      </w:pPr>
      <w:r w:rsidRPr="001C6806">
        <w:rPr>
          <w:i/>
          <w:color w:val="auto"/>
          <w:lang w:val="es-ES"/>
        </w:rPr>
        <w:t>¿Se interpretan datos para construir modelos explicativos? ¿Se usan pruebas para determinar qué modelo/decisión es más coherente/pertinente? ¿Los datos a interpretar aparecen de manera paulatina, provocando cambios en las interpretaciones? ¿Se promueve un vacío?</w:t>
      </w:r>
    </w:p>
    <w:p w14:paraId="7535818E" w14:textId="77777777" w:rsidR="00654E29" w:rsidRPr="001C6806" w:rsidRDefault="00654E29" w:rsidP="007843A3">
      <w:pPr>
        <w:pStyle w:val="Citatextual"/>
        <w:jc w:val="both"/>
        <w:rPr>
          <w:i/>
          <w:color w:val="auto"/>
          <w:lang w:val="es-ES"/>
        </w:rPr>
      </w:pPr>
    </w:p>
    <w:p w14:paraId="20B80865" w14:textId="6CD6BD97" w:rsidR="00C2726E" w:rsidRPr="001C6806" w:rsidRDefault="00C2726E" w:rsidP="007843A3">
      <w:pPr>
        <w:pStyle w:val="TextoNormal"/>
        <w:jc w:val="both"/>
        <w:rPr>
          <w:lang w:val="es-ES"/>
        </w:rPr>
      </w:pPr>
      <w:r w:rsidRPr="001C6806">
        <w:rPr>
          <w:lang w:val="es-ES"/>
        </w:rPr>
        <w:t>Obviamente, algunos de los datos usados históricamente en la construcción del modelo son excesivamente complejos para su uso en el aula, pero se pueden generar transposiciones didácticas que sitúen al alumnado en situaciones análogas. Una propuesta en este sentido es la actividad “</w:t>
      </w:r>
      <w:r w:rsidRPr="001C6806">
        <w:rPr>
          <w:i/>
          <w:lang w:val="es-ES"/>
        </w:rPr>
        <w:t>L’estructura de la materia, de Rutherford a l’Alba</w:t>
      </w:r>
      <w:r w:rsidRPr="001C6806">
        <w:rPr>
          <w:lang w:val="es-ES"/>
        </w:rPr>
        <w:t>” (Couso, Herreras, y Olivella, 2016). En ella, se propone al alumnado que use canicas para hacerlas impactar contra un objeto oculto debajo de un tablón, para, estudiando sus trayectorias, consensuar su forma (Imagen 1). La actividad promueve el uso de pruebas y la construcción paulatina de modelos explicativos cada vez más sofisticados de la forma del objeto debajo del tablón.</w:t>
      </w:r>
      <w:r w:rsidR="00043370">
        <w:rPr>
          <w:lang w:val="es-ES"/>
        </w:rPr>
        <w:t xml:space="preserve"> </w:t>
      </w:r>
    </w:p>
    <w:p w14:paraId="4F26BC12" w14:textId="77777777" w:rsidR="00C2726E" w:rsidRPr="001C6806" w:rsidRDefault="00C2726E" w:rsidP="007843A3">
      <w:pPr>
        <w:pStyle w:val="TextoNormal"/>
        <w:jc w:val="both"/>
        <w:rPr>
          <w:lang w:val="es-ES"/>
        </w:rPr>
      </w:pPr>
    </w:p>
    <w:p w14:paraId="1C09CCEB" w14:textId="77777777" w:rsidR="00C2726E" w:rsidRPr="001C6806" w:rsidRDefault="00C2726E" w:rsidP="007843A3">
      <w:pPr>
        <w:pStyle w:val="phmfigures"/>
        <w:spacing w:before="0"/>
        <w:ind w:firstLine="0"/>
        <w:jc w:val="both"/>
        <w:rPr>
          <w:lang w:val="es-ES" w:eastAsia="es-ES"/>
        </w:rPr>
      </w:pPr>
      <w:r w:rsidRPr="001C6806">
        <w:rPr>
          <w:b/>
          <w:smallCaps/>
          <w:sz w:val="22"/>
          <w:lang w:val="es-ES"/>
        </w:rPr>
        <w:t xml:space="preserve">Imagen </w:t>
      </w:r>
      <w:r w:rsidRPr="001C6806">
        <w:rPr>
          <w:b/>
          <w:smallCaps/>
          <w:noProof w:val="0"/>
          <w:sz w:val="22"/>
          <w:lang w:val="es-ES"/>
        </w:rPr>
        <w:t>1</w:t>
      </w:r>
      <w:r w:rsidRPr="001C6806">
        <w:rPr>
          <w:b/>
          <w:smallCaps/>
          <w:sz w:val="22"/>
          <w:lang w:val="es-ES"/>
        </w:rPr>
        <w:t xml:space="preserve">. </w:t>
      </w:r>
      <w:r w:rsidRPr="001C6806">
        <w:rPr>
          <w:sz w:val="22"/>
          <w:lang w:val="es-ES"/>
        </w:rPr>
        <w:t>Imagen del artefacto para emular la investigación sobre la estructura del átomo.</w:t>
      </w:r>
    </w:p>
    <w:p w14:paraId="3F0706B3" w14:textId="77777777" w:rsidR="00C2726E" w:rsidRPr="001C6806" w:rsidRDefault="00C2726E" w:rsidP="007843A3">
      <w:pPr>
        <w:pStyle w:val="TextoNormal"/>
        <w:jc w:val="both"/>
        <w:rPr>
          <w:lang w:val="es-ES"/>
        </w:rPr>
      </w:pPr>
    </w:p>
    <w:p w14:paraId="0B98C4C4" w14:textId="77777777" w:rsidR="00C2726E" w:rsidRPr="001C6806" w:rsidRDefault="00C2726E" w:rsidP="007843A3">
      <w:pPr>
        <w:pStyle w:val="TextoNormal"/>
        <w:jc w:val="both"/>
        <w:rPr>
          <w:lang w:val="es-ES"/>
        </w:rPr>
      </w:pPr>
    </w:p>
    <w:p w14:paraId="7EC14E78" w14:textId="77777777" w:rsidR="00C2726E" w:rsidRPr="001C6806" w:rsidRDefault="00C2726E" w:rsidP="007843A3">
      <w:pPr>
        <w:pStyle w:val="TextoNormal"/>
        <w:jc w:val="both"/>
        <w:rPr>
          <w:lang w:val="es-ES"/>
        </w:rPr>
      </w:pPr>
      <w:r w:rsidRPr="001C6806">
        <w:rPr>
          <w:rFonts w:ascii="Palatino Linotype" w:eastAsia="Palatino Linotype" w:hAnsi="Palatino Linotype" w:cs="Palatino Linotype"/>
          <w:noProof/>
          <w:lang w:val="es-ES" w:eastAsia="es-ES"/>
        </w:rPr>
        <w:drawing>
          <wp:inline distT="0" distB="0" distL="0" distR="0" wp14:anchorId="4139481A" wp14:editId="4D8FE4BC">
            <wp:extent cx="4820421" cy="1402820"/>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25610" cy="1404330"/>
                    </a:xfrm>
                    <a:prstGeom prst="rect">
                      <a:avLst/>
                    </a:prstGeom>
                  </pic:spPr>
                </pic:pic>
              </a:graphicData>
            </a:graphic>
          </wp:inline>
        </w:drawing>
      </w:r>
    </w:p>
    <w:p w14:paraId="58EC456F" w14:textId="77777777" w:rsidR="00C2726E" w:rsidRPr="001C6806" w:rsidRDefault="00C2726E" w:rsidP="007843A3">
      <w:pPr>
        <w:pStyle w:val="TextoNormal"/>
        <w:jc w:val="both"/>
        <w:rPr>
          <w:lang w:val="es-ES"/>
        </w:rPr>
      </w:pPr>
      <w:r w:rsidRPr="001C6806">
        <w:rPr>
          <w:rFonts w:ascii="Palatino Linotype" w:eastAsia="Palatino Linotype" w:hAnsi="Palatino Linotype" w:cs="Palatino Linotype"/>
          <w:noProof/>
          <w:lang w:val="es-ES" w:eastAsia="es-ES"/>
        </w:rPr>
        <w:drawing>
          <wp:inline distT="0" distB="0" distL="0" distR="0" wp14:anchorId="2446F197" wp14:editId="50AEF9E8">
            <wp:extent cx="4822055" cy="178358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28749" cy="1786058"/>
                    </a:xfrm>
                    <a:prstGeom prst="rect">
                      <a:avLst/>
                    </a:prstGeom>
                  </pic:spPr>
                </pic:pic>
              </a:graphicData>
            </a:graphic>
          </wp:inline>
        </w:drawing>
      </w:r>
    </w:p>
    <w:p w14:paraId="7B308644" w14:textId="77777777" w:rsidR="00C2726E" w:rsidRPr="001C6806" w:rsidRDefault="00C2726E" w:rsidP="007843A3">
      <w:pPr>
        <w:pStyle w:val="Piedegrficooimagen"/>
        <w:spacing w:before="0" w:after="0"/>
        <w:jc w:val="both"/>
        <w:rPr>
          <w:lang w:val="es-ES"/>
        </w:rPr>
      </w:pPr>
    </w:p>
    <w:p w14:paraId="0F9BE1D5" w14:textId="77777777" w:rsidR="00C2726E" w:rsidRPr="001C6806" w:rsidRDefault="00C2726E" w:rsidP="007843A3">
      <w:pPr>
        <w:pStyle w:val="Piedegrficooimagen"/>
        <w:spacing w:before="0" w:after="0"/>
        <w:jc w:val="both"/>
        <w:rPr>
          <w:lang w:val="es-ES"/>
        </w:rPr>
      </w:pPr>
      <w:r w:rsidRPr="001C6806">
        <w:rPr>
          <w:lang w:val="es-ES"/>
        </w:rPr>
        <w:t>Fuente: Couso, Herreras, y Olivella (2016).</w:t>
      </w:r>
    </w:p>
    <w:p w14:paraId="6A33570F" w14:textId="77777777" w:rsidR="00C2726E" w:rsidRPr="001C6806" w:rsidRDefault="00C2726E" w:rsidP="007843A3">
      <w:pPr>
        <w:pStyle w:val="TextoNormal"/>
        <w:jc w:val="both"/>
        <w:rPr>
          <w:lang w:val="es-ES"/>
        </w:rPr>
      </w:pPr>
    </w:p>
    <w:p w14:paraId="4E9FBA82" w14:textId="77777777" w:rsidR="00C2726E" w:rsidRPr="001C6806" w:rsidRDefault="00C2726E" w:rsidP="007843A3">
      <w:pPr>
        <w:pStyle w:val="TextoNormal"/>
        <w:jc w:val="both"/>
        <w:rPr>
          <w:lang w:val="es-ES"/>
        </w:rPr>
      </w:pPr>
      <w:r w:rsidRPr="001C6806">
        <w:rPr>
          <w:lang w:val="es-ES"/>
        </w:rPr>
        <w:t xml:space="preserve">Usar esas preguntas para interpelar el diseño de la actividad permite que el alumnado distinga leyes (qué comportamientos suelen tener las canicas en cada zona) de teorías (cuál es la forma del objeto debajo del tablón). Conversar para ir decidiendo e incorporando nuevas pruebas (nuevos lanzamientos) para, de forma paulatina, evaluar la certidumbre de distintos modelos alternativos. </w:t>
      </w:r>
    </w:p>
    <w:p w14:paraId="60C2E1D2" w14:textId="77777777" w:rsidR="00C2726E" w:rsidRPr="001C6806" w:rsidRDefault="00C2726E" w:rsidP="007843A3">
      <w:pPr>
        <w:pStyle w:val="TextoNormal"/>
        <w:jc w:val="both"/>
        <w:rPr>
          <w:lang w:val="es-ES"/>
        </w:rPr>
      </w:pPr>
    </w:p>
    <w:p w14:paraId="2F5E11E7" w14:textId="77777777" w:rsidR="00C2726E" w:rsidRPr="001C6806" w:rsidRDefault="00C2726E" w:rsidP="007843A3">
      <w:pPr>
        <w:pStyle w:val="Titulodelapartado"/>
        <w:numPr>
          <w:ilvl w:val="1"/>
          <w:numId w:val="8"/>
        </w:numPr>
        <w:jc w:val="both"/>
        <w:rPr>
          <w:lang w:val="es-ES"/>
        </w:rPr>
      </w:pPr>
      <w:r w:rsidRPr="001C6806">
        <w:rPr>
          <w:lang w:val="es-ES"/>
        </w:rPr>
        <w:t xml:space="preserve">Yacimientos y evolución </w:t>
      </w:r>
    </w:p>
    <w:p w14:paraId="46E191E0" w14:textId="77777777" w:rsidR="00C2726E" w:rsidRPr="001C6806" w:rsidRDefault="00C2726E" w:rsidP="007843A3">
      <w:pPr>
        <w:pStyle w:val="TextoNormal"/>
        <w:jc w:val="both"/>
        <w:rPr>
          <w:lang w:val="es-ES"/>
        </w:rPr>
      </w:pPr>
    </w:p>
    <w:p w14:paraId="56A618BD" w14:textId="3B197041" w:rsidR="003E6108" w:rsidRDefault="00C2726E" w:rsidP="007843A3">
      <w:pPr>
        <w:pStyle w:val="TextoNormal"/>
        <w:jc w:val="both"/>
        <w:rPr>
          <w:lang w:val="es-ES"/>
        </w:rPr>
      </w:pPr>
      <w:r w:rsidRPr="001C6806">
        <w:rPr>
          <w:lang w:val="es-ES"/>
        </w:rPr>
        <w:t>Los trabajos sobre evolución humana suele</w:t>
      </w:r>
      <w:r w:rsidR="001B5740">
        <w:rPr>
          <w:lang w:val="es-ES"/>
        </w:rPr>
        <w:t xml:space="preserve">n </w:t>
      </w:r>
      <w:r w:rsidRPr="001C6806">
        <w:rPr>
          <w:lang w:val="es-ES"/>
        </w:rPr>
        <w:t>hacerse de modo que el alumnado identifique las características anatómicas y culturales de cada etapa conocida (</w:t>
      </w:r>
      <w:r w:rsidRPr="001C6806">
        <w:rPr>
          <w:i/>
          <w:lang w:val="es-ES"/>
        </w:rPr>
        <w:t>Homo erectus, Homo sapiens neanderthalensis,</w:t>
      </w:r>
      <w:r w:rsidRPr="001C6806">
        <w:rPr>
          <w:lang w:val="es-ES"/>
        </w:rPr>
        <w:t xml:space="preserve">…) con distintas tensiones y procesos evolutivos (bipedestación, encefalización,…), pero solemos dedicar poco tiempo al origen y características epistémicas de las pruebas, lo que hace algo difícil para el alumnado valorar enunciados habituales de prensa como </w:t>
      </w:r>
      <w:r w:rsidRPr="001C6806">
        <w:rPr>
          <w:i/>
          <w:lang w:val="es-ES"/>
        </w:rPr>
        <w:t>“Se ha encontrado el eslabón perdido</w:t>
      </w:r>
      <w:r w:rsidRPr="001C6806">
        <w:rPr>
          <w:lang w:val="es-ES"/>
        </w:rPr>
        <w:t>” o “</w:t>
      </w:r>
      <w:r w:rsidRPr="001C6806">
        <w:rPr>
          <w:i/>
          <w:lang w:val="es-ES"/>
        </w:rPr>
        <w:t>Los Neanderthales interaccionaron con Homo sapiens sapiens</w:t>
      </w:r>
      <w:r w:rsidRPr="001C6806">
        <w:rPr>
          <w:lang w:val="es-ES"/>
        </w:rPr>
        <w:t>”.</w:t>
      </w:r>
      <w:r w:rsidR="003E6108" w:rsidRPr="001C6806">
        <w:rPr>
          <w:lang w:val="es-ES"/>
        </w:rPr>
        <w:t xml:space="preserve"> </w:t>
      </w:r>
      <w:r w:rsidRPr="001C6806">
        <w:rPr>
          <w:lang w:val="es-ES"/>
        </w:rPr>
        <w:t>Proponernos algunas de las preguntas de la Tabla 2 para los ejes de Argumentación</w:t>
      </w:r>
      <w:r w:rsidR="003E6108" w:rsidRPr="001C6806">
        <w:rPr>
          <w:lang w:val="es-ES"/>
        </w:rPr>
        <w:t xml:space="preserve">, Naturaleza de la </w:t>
      </w:r>
      <w:r w:rsidR="007843A3">
        <w:rPr>
          <w:lang w:val="es-ES"/>
        </w:rPr>
        <w:t>Ciencia</w:t>
      </w:r>
      <w:r w:rsidRPr="001C6806">
        <w:rPr>
          <w:lang w:val="es-ES"/>
        </w:rPr>
        <w:t xml:space="preserve"> y Cognición epistémica puede ser de ayuda para transformar ese diseño: </w:t>
      </w:r>
    </w:p>
    <w:p w14:paraId="3D0FE6BF" w14:textId="77777777" w:rsidR="00654E29" w:rsidRPr="001C6806" w:rsidRDefault="00654E29" w:rsidP="007843A3">
      <w:pPr>
        <w:pStyle w:val="TextoNormal"/>
        <w:jc w:val="both"/>
        <w:rPr>
          <w:lang w:val="es-ES"/>
        </w:rPr>
      </w:pPr>
    </w:p>
    <w:p w14:paraId="2614104B" w14:textId="0CBEEF4C" w:rsidR="00C2726E" w:rsidRDefault="00C2726E" w:rsidP="007843A3">
      <w:pPr>
        <w:pStyle w:val="Citatextual"/>
        <w:jc w:val="both"/>
        <w:rPr>
          <w:i/>
          <w:color w:val="auto"/>
          <w:lang w:val="es-ES"/>
        </w:rPr>
      </w:pPr>
      <w:r w:rsidRPr="001C6806">
        <w:rPr>
          <w:i/>
          <w:color w:val="auto"/>
          <w:lang w:val="es-ES"/>
        </w:rPr>
        <w:t>¿Se analizan pruebas de distintos tipos para interpretarlas? ¿Se priorizan según su especificidad, sufi</w:t>
      </w:r>
      <w:r w:rsidR="007843A3">
        <w:rPr>
          <w:i/>
          <w:color w:val="auto"/>
          <w:lang w:val="es-ES"/>
        </w:rPr>
        <w:t>ciencia</w:t>
      </w:r>
      <w:r w:rsidRPr="001C6806">
        <w:rPr>
          <w:i/>
          <w:color w:val="auto"/>
          <w:lang w:val="es-ES"/>
        </w:rPr>
        <w:t xml:space="preserve"> y fiabilidad?</w:t>
      </w:r>
      <w:r w:rsidR="003E6108" w:rsidRPr="001C6806">
        <w:rPr>
          <w:i/>
          <w:color w:val="auto"/>
          <w:lang w:val="es-ES"/>
        </w:rPr>
        <w:t xml:space="preserve"> ¿Se incorporan tareas en las que haya que construir o formular modelos explicativos (interpretaciones) a partir de datos?</w:t>
      </w:r>
      <w:r w:rsidRPr="001C6806">
        <w:rPr>
          <w:i/>
          <w:color w:val="auto"/>
          <w:lang w:val="es-ES"/>
        </w:rPr>
        <w:t xml:space="preserve"> ¿Se promueve que el alumnado identifique los motivos de sus decisiones o preferencias? ¿Se identifican los propios sesgos?</w:t>
      </w:r>
    </w:p>
    <w:p w14:paraId="6AC1DE17" w14:textId="77777777" w:rsidR="00654E29" w:rsidRPr="001C6806" w:rsidRDefault="00654E29" w:rsidP="007843A3">
      <w:pPr>
        <w:pStyle w:val="Citatextual"/>
        <w:jc w:val="both"/>
        <w:rPr>
          <w:i/>
          <w:color w:val="auto"/>
          <w:lang w:val="es-ES"/>
        </w:rPr>
      </w:pPr>
    </w:p>
    <w:p w14:paraId="2A72182F" w14:textId="77777777" w:rsidR="003E6108" w:rsidRDefault="00C2726E" w:rsidP="007843A3">
      <w:pPr>
        <w:pStyle w:val="TextoNormal"/>
        <w:jc w:val="both"/>
        <w:rPr>
          <w:lang w:val="es-ES"/>
        </w:rPr>
      </w:pPr>
      <w:r w:rsidRPr="001C6806">
        <w:rPr>
          <w:lang w:val="es-ES"/>
        </w:rPr>
        <w:t xml:space="preserve">En la actividad </w:t>
      </w:r>
      <w:r w:rsidRPr="001C6806">
        <w:rPr>
          <w:i/>
          <w:lang w:val="es-ES"/>
        </w:rPr>
        <w:t>Armshtadt</w:t>
      </w:r>
      <w:r w:rsidRPr="001C6806">
        <w:rPr>
          <w:lang w:val="es-ES"/>
        </w:rPr>
        <w:t xml:space="preserve"> de investigación sobre evolución humana (Domènech-Casal, 2016) se muestra al alumnado una imagen de una habitación (Figura 4). En la imagen aparecen distintos objetos, y se propone al alumnado que mediante la observación, discusión y argumentación determine la Edad, el Género, las Aficiones, la Profesión e incluso la altura de la persona que habita la casa, determinando “cuán segura” (en porcentaje) es cada una de esas </w:t>
      </w:r>
      <w:r w:rsidR="003E6108" w:rsidRPr="001C6806">
        <w:rPr>
          <w:lang w:val="es-ES"/>
        </w:rPr>
        <w:t>conclusiones (Imagen 2)</w:t>
      </w:r>
      <w:r w:rsidRPr="001C6806">
        <w:rPr>
          <w:lang w:val="es-ES"/>
        </w:rPr>
        <w:t xml:space="preserve">. </w:t>
      </w:r>
    </w:p>
    <w:p w14:paraId="76169844" w14:textId="77777777" w:rsidR="00F13026" w:rsidRDefault="00F13026" w:rsidP="007843A3">
      <w:pPr>
        <w:pStyle w:val="TextoNormal"/>
        <w:jc w:val="both"/>
        <w:rPr>
          <w:lang w:val="es-ES"/>
        </w:rPr>
      </w:pPr>
    </w:p>
    <w:p w14:paraId="5BDC56B2" w14:textId="5026D932" w:rsidR="00F13026" w:rsidRDefault="00F13026" w:rsidP="007843A3">
      <w:pPr>
        <w:pStyle w:val="TextoNormal"/>
        <w:jc w:val="both"/>
        <w:rPr>
          <w:lang w:val="es-ES"/>
        </w:rPr>
      </w:pPr>
      <w:r w:rsidRPr="001C6806">
        <w:rPr>
          <w:lang w:val="es-ES"/>
        </w:rPr>
        <w:lastRenderedPageBreak/>
        <w:t xml:space="preserve">En la discusión emerge de forma muy clara cómo los modelos previos del alumnado (¿Unos zapatos de tacón implican necesariamente que el habitante sea mujer?) acaban promoviendo determinadas conclusiones. Eso se discute como ejemplo de sesgo interpretativo que suele estar presente en la </w:t>
      </w:r>
      <w:r w:rsidR="007843A3">
        <w:rPr>
          <w:lang w:val="es-ES"/>
        </w:rPr>
        <w:t>Ciencia</w:t>
      </w:r>
      <w:r w:rsidRPr="001C6806">
        <w:rPr>
          <w:lang w:val="es-ES"/>
        </w:rPr>
        <w:t xml:space="preserve"> (construye a partir de los modelos previos), porque está presente también en la forma de conocer de cada uno/a de nosotros/as.</w:t>
      </w:r>
    </w:p>
    <w:p w14:paraId="2EF6DD61" w14:textId="77777777" w:rsidR="00F13026" w:rsidRPr="001C6806" w:rsidRDefault="00F13026" w:rsidP="007843A3">
      <w:pPr>
        <w:pStyle w:val="TextoNormal"/>
        <w:jc w:val="both"/>
        <w:rPr>
          <w:lang w:val="es-ES"/>
        </w:rPr>
      </w:pPr>
    </w:p>
    <w:p w14:paraId="4F97AF99" w14:textId="3D5B5497" w:rsidR="00F13026" w:rsidRDefault="00F13026" w:rsidP="007843A3">
      <w:pPr>
        <w:pStyle w:val="TextoNormal"/>
        <w:jc w:val="both"/>
        <w:rPr>
          <w:lang w:val="es-ES"/>
        </w:rPr>
      </w:pPr>
      <w:r w:rsidRPr="001C6806">
        <w:rPr>
          <w:lang w:val="es-ES"/>
        </w:rPr>
        <w:t>En una segunda etapa, los alumnos analizan distintos yacimientos construidos ad hoc para la actividad con distintas muestras, de los que deben elucidar la etapa evolutiva, con la ayuda de apoyos lingüísticos (Tabla 3).</w:t>
      </w:r>
      <w:r w:rsidR="00043370">
        <w:rPr>
          <w:lang w:val="es-ES"/>
        </w:rPr>
        <w:t xml:space="preserve"> </w:t>
      </w:r>
      <w:r w:rsidRPr="001C6806">
        <w:rPr>
          <w:lang w:val="es-ES"/>
        </w:rPr>
        <w:t>Esto crea un contexto de actividad que promueve que el alumnado deba plantearse si las pruebas son específicas, fiables y suficientes, y lidiar con la necesidad de otorgar mayor o menor certidumbre a la identificación de distintas etapas evolutivas.</w:t>
      </w:r>
    </w:p>
    <w:p w14:paraId="53CEDD70" w14:textId="77777777" w:rsidR="00F13026" w:rsidRPr="001C6806" w:rsidRDefault="00F13026" w:rsidP="00F13026">
      <w:pPr>
        <w:pStyle w:val="TextoNormal"/>
        <w:rPr>
          <w:lang w:val="es-ES"/>
        </w:rPr>
      </w:pPr>
    </w:p>
    <w:p w14:paraId="4211F185" w14:textId="77777777" w:rsidR="00F13026" w:rsidRPr="001C6806" w:rsidRDefault="00F13026" w:rsidP="00C2726E">
      <w:pPr>
        <w:pStyle w:val="TextoNormal"/>
        <w:rPr>
          <w:lang w:val="es-ES"/>
        </w:rPr>
      </w:pPr>
    </w:p>
    <w:p w14:paraId="456B615E" w14:textId="77777777" w:rsidR="003E6108" w:rsidRPr="001C6806" w:rsidRDefault="003E6108" w:rsidP="003E6108">
      <w:pPr>
        <w:pStyle w:val="phmfigures"/>
        <w:spacing w:before="0"/>
        <w:ind w:firstLine="0"/>
        <w:rPr>
          <w:lang w:val="es-ES" w:eastAsia="es-ES"/>
        </w:rPr>
      </w:pPr>
      <w:r w:rsidRPr="001C6806">
        <w:rPr>
          <w:b/>
          <w:smallCaps/>
          <w:sz w:val="22"/>
          <w:lang w:val="es-ES"/>
        </w:rPr>
        <w:t xml:space="preserve">Imagen </w:t>
      </w:r>
      <w:r w:rsidRPr="001C6806">
        <w:rPr>
          <w:b/>
          <w:smallCaps/>
          <w:noProof w:val="0"/>
          <w:sz w:val="22"/>
          <w:lang w:val="es-ES"/>
        </w:rPr>
        <w:t>1</w:t>
      </w:r>
      <w:r w:rsidRPr="001C6806">
        <w:rPr>
          <w:b/>
          <w:smallCaps/>
          <w:sz w:val="22"/>
          <w:lang w:val="es-ES"/>
        </w:rPr>
        <w:t xml:space="preserve">. </w:t>
      </w:r>
      <w:r w:rsidRPr="001C6806">
        <w:rPr>
          <w:sz w:val="22"/>
          <w:lang w:val="es-ES"/>
        </w:rPr>
        <w:t>Imágenes de la actividad inicial y la segunda etapa de análisis de yacimientos</w:t>
      </w:r>
    </w:p>
    <w:p w14:paraId="43833C20" w14:textId="77777777" w:rsidR="003E6108" w:rsidRPr="001C6806" w:rsidRDefault="003E6108" w:rsidP="00C2726E">
      <w:pPr>
        <w:pStyle w:val="TextoNormal"/>
        <w:rPr>
          <w:lang w:val="es-ES"/>
        </w:rPr>
      </w:pPr>
    </w:p>
    <w:p w14:paraId="1CA65D76" w14:textId="77777777" w:rsidR="003E6108" w:rsidRPr="001C6806" w:rsidRDefault="003E6108" w:rsidP="00C2726E">
      <w:pPr>
        <w:pStyle w:val="TextoNormal"/>
        <w:rPr>
          <w:lang w:val="es-ES"/>
        </w:rPr>
      </w:pPr>
      <w:r w:rsidRPr="001C6806">
        <w:rPr>
          <w:rFonts w:ascii="Palatino Linotype" w:hAnsi="Palatino Linotype" w:cs="Palatino Linotype"/>
          <w:noProof/>
          <w:lang w:val="es-ES" w:eastAsia="es-ES"/>
        </w:rPr>
        <w:drawing>
          <wp:anchor distT="0" distB="0" distL="114300" distR="114300" simplePos="0" relativeHeight="251666944" behindDoc="0" locked="0" layoutInCell="1" allowOverlap="1" wp14:anchorId="63B62121" wp14:editId="5D21E5C0">
            <wp:simplePos x="0" y="0"/>
            <wp:positionH relativeFrom="column">
              <wp:posOffset>3829050</wp:posOffset>
            </wp:positionH>
            <wp:positionV relativeFrom="paragraph">
              <wp:posOffset>313055</wp:posOffset>
            </wp:positionV>
            <wp:extent cx="1781175" cy="1606550"/>
            <wp:effectExtent l="0" t="0" r="952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81175" cy="1606550"/>
                    </a:xfrm>
                    <a:prstGeom prst="rect">
                      <a:avLst/>
                    </a:prstGeom>
                  </pic:spPr>
                </pic:pic>
              </a:graphicData>
            </a:graphic>
            <wp14:sizeRelH relativeFrom="page">
              <wp14:pctWidth>0</wp14:pctWidth>
            </wp14:sizeRelH>
            <wp14:sizeRelV relativeFrom="page">
              <wp14:pctHeight>0</wp14:pctHeight>
            </wp14:sizeRelV>
          </wp:anchor>
        </w:drawing>
      </w:r>
      <w:r w:rsidRPr="001C6806">
        <w:rPr>
          <w:rFonts w:ascii="Palatino Linotype" w:hAnsi="Palatino Linotype" w:cs="Palatino Linotype"/>
          <w:noProof/>
          <w:lang w:val="es-ES" w:eastAsia="es-ES"/>
        </w:rPr>
        <w:drawing>
          <wp:inline distT="0" distB="0" distL="0" distR="0" wp14:anchorId="7877CCC4" wp14:editId="26F76920">
            <wp:extent cx="3139253" cy="2061364"/>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2258" cy="2063337"/>
                    </a:xfrm>
                    <a:prstGeom prst="rect">
                      <a:avLst/>
                    </a:prstGeom>
                  </pic:spPr>
                </pic:pic>
              </a:graphicData>
            </a:graphic>
          </wp:inline>
        </w:drawing>
      </w:r>
    </w:p>
    <w:p w14:paraId="355C366F" w14:textId="77777777" w:rsidR="003E6108" w:rsidRPr="001C6806" w:rsidRDefault="003E6108" w:rsidP="00C2726E">
      <w:pPr>
        <w:pStyle w:val="TextoNormal"/>
        <w:rPr>
          <w:lang w:val="es-ES"/>
        </w:rPr>
      </w:pPr>
    </w:p>
    <w:p w14:paraId="2DA10D80" w14:textId="77777777" w:rsidR="003E6108" w:rsidRPr="001C6806" w:rsidRDefault="003E6108" w:rsidP="00C2726E">
      <w:pPr>
        <w:pStyle w:val="TextoNormal"/>
        <w:rPr>
          <w:lang w:val="es-ES"/>
        </w:rPr>
      </w:pPr>
    </w:p>
    <w:p w14:paraId="168FC4CA" w14:textId="77777777" w:rsidR="003E6108" w:rsidRPr="001C6806" w:rsidRDefault="003E6108" w:rsidP="00C2726E">
      <w:pPr>
        <w:pStyle w:val="TextoNormal"/>
        <w:rPr>
          <w:lang w:val="es-ES"/>
        </w:rPr>
      </w:pPr>
    </w:p>
    <w:p w14:paraId="247D3255" w14:textId="77777777" w:rsidR="003E6108" w:rsidRPr="001C6806" w:rsidRDefault="003E6108" w:rsidP="003E6108">
      <w:pPr>
        <w:pStyle w:val="phmfigures"/>
        <w:spacing w:before="0"/>
        <w:ind w:firstLine="0"/>
        <w:rPr>
          <w:lang w:val="es-ES"/>
        </w:rPr>
      </w:pPr>
      <w:r w:rsidRPr="001C6806">
        <w:rPr>
          <w:b/>
          <w:smallCaps/>
          <w:sz w:val="22"/>
          <w:lang w:val="es-ES"/>
        </w:rPr>
        <w:t xml:space="preserve">Tabla </w:t>
      </w:r>
      <w:r w:rsidRPr="001C6806">
        <w:rPr>
          <w:b/>
          <w:smallCaps/>
          <w:noProof w:val="0"/>
          <w:sz w:val="22"/>
          <w:lang w:val="es-ES"/>
        </w:rPr>
        <w:t>3</w:t>
      </w:r>
      <w:r w:rsidRPr="001C6806">
        <w:rPr>
          <w:b/>
          <w:smallCaps/>
          <w:sz w:val="22"/>
          <w:lang w:val="es-ES"/>
        </w:rPr>
        <w:t xml:space="preserve">. </w:t>
      </w:r>
      <w:r w:rsidRPr="001C6806">
        <w:rPr>
          <w:sz w:val="22"/>
          <w:lang w:val="es-ES"/>
        </w:rPr>
        <w:t>Rutina de pensamiento para desarrollar destrezas en el uso de pruebas</w:t>
      </w:r>
    </w:p>
    <w:tbl>
      <w:tblPr>
        <w:tblStyle w:val="Tablanormal21"/>
        <w:tblW w:w="9276" w:type="dxa"/>
        <w:tblInd w:w="571" w:type="dxa"/>
        <w:tblLayout w:type="fixed"/>
        <w:tblLook w:val="0600" w:firstRow="0" w:lastRow="0" w:firstColumn="0" w:lastColumn="0" w:noHBand="1" w:noVBand="1"/>
      </w:tblPr>
      <w:tblGrid>
        <w:gridCol w:w="1805"/>
        <w:gridCol w:w="2552"/>
        <w:gridCol w:w="2835"/>
        <w:gridCol w:w="2084"/>
      </w:tblGrid>
      <w:tr w:rsidR="003E6108" w:rsidRPr="001C6806" w14:paraId="6D6DF4A0" w14:textId="77777777" w:rsidTr="004E0AEC">
        <w:trPr>
          <w:trHeight w:val="619"/>
        </w:trPr>
        <w:tc>
          <w:tcPr>
            <w:tcW w:w="1805" w:type="dxa"/>
            <w:tcBorders>
              <w:top w:val="single" w:sz="4" w:space="0" w:color="7F7F7F" w:themeColor="text1" w:themeTint="80"/>
              <w:bottom w:val="single" w:sz="2" w:space="0" w:color="7F7F7F" w:themeColor="text1" w:themeTint="80"/>
            </w:tcBorders>
            <w:vAlign w:val="center"/>
          </w:tcPr>
          <w:p w14:paraId="72009C26" w14:textId="77777777" w:rsidR="003E6108" w:rsidRPr="001C6806" w:rsidRDefault="003E6108" w:rsidP="00654E29">
            <w:pPr>
              <w:pStyle w:val="Textotabla"/>
            </w:pPr>
            <w:r w:rsidRPr="001C6806">
              <w:t>Usar pruebas</w:t>
            </w:r>
          </w:p>
        </w:tc>
        <w:tc>
          <w:tcPr>
            <w:tcW w:w="2552" w:type="dxa"/>
            <w:tcBorders>
              <w:top w:val="single" w:sz="4" w:space="0" w:color="7F7F7F" w:themeColor="text1" w:themeTint="80"/>
              <w:bottom w:val="single" w:sz="2" w:space="0" w:color="7F7F7F" w:themeColor="text1" w:themeTint="80"/>
            </w:tcBorders>
            <w:vAlign w:val="center"/>
          </w:tcPr>
          <w:p w14:paraId="1C7363A1" w14:textId="77777777" w:rsidR="003E6108" w:rsidRPr="001C6806" w:rsidRDefault="003E6108" w:rsidP="00654E29">
            <w:pPr>
              <w:pStyle w:val="Textotabla"/>
            </w:pPr>
            <w:r w:rsidRPr="001C6806">
              <w:t>Interpretar pruebas en base a modelos</w:t>
            </w:r>
          </w:p>
        </w:tc>
        <w:tc>
          <w:tcPr>
            <w:tcW w:w="2835" w:type="dxa"/>
            <w:tcBorders>
              <w:top w:val="single" w:sz="4" w:space="0" w:color="7F7F7F" w:themeColor="text1" w:themeTint="80"/>
              <w:bottom w:val="single" w:sz="2" w:space="0" w:color="7F7F7F" w:themeColor="text1" w:themeTint="80"/>
            </w:tcBorders>
            <w:vAlign w:val="center"/>
          </w:tcPr>
          <w:p w14:paraId="11C1DADA" w14:textId="77777777" w:rsidR="003E6108" w:rsidRPr="001C6806" w:rsidRDefault="003E6108" w:rsidP="00654E29">
            <w:pPr>
              <w:pStyle w:val="Textotabla"/>
            </w:pPr>
            <w:r w:rsidRPr="001C6806">
              <w:t>Determinar la validez de las pruebas</w:t>
            </w:r>
          </w:p>
        </w:tc>
        <w:tc>
          <w:tcPr>
            <w:tcW w:w="2084" w:type="dxa"/>
            <w:tcBorders>
              <w:top w:val="single" w:sz="4" w:space="0" w:color="7F7F7F" w:themeColor="text1" w:themeTint="80"/>
              <w:bottom w:val="single" w:sz="2" w:space="0" w:color="7F7F7F" w:themeColor="text1" w:themeTint="80"/>
            </w:tcBorders>
          </w:tcPr>
          <w:p w14:paraId="54F59BFC" w14:textId="77777777" w:rsidR="003E6108" w:rsidRPr="001C6806" w:rsidRDefault="003E6108" w:rsidP="00654E29">
            <w:pPr>
              <w:pStyle w:val="Textotabla"/>
            </w:pPr>
            <w:r w:rsidRPr="001C6806">
              <w:t>Con una certidumbre de…</w:t>
            </w:r>
          </w:p>
        </w:tc>
      </w:tr>
      <w:tr w:rsidR="003E6108" w:rsidRPr="001C6806" w14:paraId="4FF3405D" w14:textId="77777777" w:rsidTr="004E0AEC">
        <w:trPr>
          <w:trHeight w:val="619"/>
        </w:trPr>
        <w:tc>
          <w:tcPr>
            <w:tcW w:w="1805" w:type="dxa"/>
            <w:tcBorders>
              <w:top w:val="single" w:sz="4" w:space="0" w:color="7F7F7F" w:themeColor="text1" w:themeTint="80"/>
              <w:bottom w:val="single" w:sz="2" w:space="0" w:color="7F7F7F" w:themeColor="text1" w:themeTint="80"/>
            </w:tcBorders>
            <w:vAlign w:val="center"/>
          </w:tcPr>
          <w:p w14:paraId="2E4E956A" w14:textId="77777777" w:rsidR="003E6108" w:rsidRPr="001C6806" w:rsidRDefault="003E6108" w:rsidP="004E0AEC">
            <w:pPr>
              <w:pStyle w:val="Textotabla"/>
            </w:pPr>
            <w:r w:rsidRPr="001C6806">
              <w:t>La prueba [</w:t>
            </w:r>
            <w:r w:rsidR="004E0AEC" w:rsidRPr="001C6806">
              <w:t>x</w:t>
            </w:r>
            <w:r w:rsidRPr="001C6806">
              <w:t>] Apoya que se trata del estadio evolutivo…</w:t>
            </w:r>
          </w:p>
        </w:tc>
        <w:tc>
          <w:tcPr>
            <w:tcW w:w="2552" w:type="dxa"/>
            <w:tcBorders>
              <w:top w:val="single" w:sz="4" w:space="0" w:color="7F7F7F" w:themeColor="text1" w:themeTint="80"/>
              <w:bottom w:val="single" w:sz="2" w:space="0" w:color="7F7F7F" w:themeColor="text1" w:themeTint="80"/>
            </w:tcBorders>
            <w:vAlign w:val="center"/>
          </w:tcPr>
          <w:p w14:paraId="17C6BD94" w14:textId="77777777" w:rsidR="003E6108" w:rsidRPr="001C6806" w:rsidRDefault="003E6108" w:rsidP="00654E29">
            <w:pPr>
              <w:pStyle w:val="Textotabla"/>
            </w:pPr>
            <w:r w:rsidRPr="001C6806">
              <w:t>…porque…</w:t>
            </w:r>
          </w:p>
        </w:tc>
        <w:tc>
          <w:tcPr>
            <w:tcW w:w="2835" w:type="dxa"/>
            <w:tcBorders>
              <w:top w:val="single" w:sz="4" w:space="0" w:color="7F7F7F" w:themeColor="text1" w:themeTint="80"/>
              <w:bottom w:val="single" w:sz="2" w:space="0" w:color="7F7F7F" w:themeColor="text1" w:themeTint="80"/>
            </w:tcBorders>
            <w:vAlign w:val="center"/>
          </w:tcPr>
          <w:p w14:paraId="3E63A7D7" w14:textId="7F787480" w:rsidR="003E6108" w:rsidRPr="001C6806" w:rsidRDefault="003E6108" w:rsidP="00654E29">
            <w:pPr>
              <w:pStyle w:val="Textotabla"/>
            </w:pPr>
            <w:r w:rsidRPr="001C6806">
              <w:t>Esta prueba es fuerte / débil</w:t>
            </w:r>
            <w:r w:rsidR="00043370">
              <w:t xml:space="preserve"> </w:t>
            </w:r>
            <w:r w:rsidRPr="001C6806">
              <w:t>(específica, fiable, suficiente) porque...</w:t>
            </w:r>
          </w:p>
        </w:tc>
        <w:tc>
          <w:tcPr>
            <w:tcW w:w="2084" w:type="dxa"/>
            <w:tcBorders>
              <w:top w:val="single" w:sz="4" w:space="0" w:color="7F7F7F" w:themeColor="text1" w:themeTint="80"/>
              <w:bottom w:val="single" w:sz="2" w:space="0" w:color="7F7F7F" w:themeColor="text1" w:themeTint="80"/>
            </w:tcBorders>
          </w:tcPr>
          <w:p w14:paraId="102AAB1D" w14:textId="77777777" w:rsidR="003E6108" w:rsidRPr="001C6806" w:rsidRDefault="003E6108" w:rsidP="00654E29">
            <w:pPr>
              <w:pStyle w:val="Textotabla"/>
            </w:pPr>
            <w:r w:rsidRPr="001C6806">
              <w:t>%</w:t>
            </w:r>
          </w:p>
        </w:tc>
      </w:tr>
      <w:tr w:rsidR="003E6108" w:rsidRPr="001C6806" w14:paraId="0DF3771F" w14:textId="77777777" w:rsidTr="004E0AEC">
        <w:trPr>
          <w:trHeight w:val="619"/>
        </w:trPr>
        <w:tc>
          <w:tcPr>
            <w:tcW w:w="1805" w:type="dxa"/>
            <w:tcBorders>
              <w:top w:val="single" w:sz="4" w:space="0" w:color="7F7F7F" w:themeColor="text1" w:themeTint="80"/>
              <w:bottom w:val="single" w:sz="2" w:space="0" w:color="7F7F7F" w:themeColor="text1" w:themeTint="80"/>
            </w:tcBorders>
            <w:vAlign w:val="center"/>
          </w:tcPr>
          <w:p w14:paraId="41F91EE7" w14:textId="77777777" w:rsidR="003E6108" w:rsidRPr="001C6806" w:rsidRDefault="004E0AEC" w:rsidP="00654E29">
            <w:pPr>
              <w:pStyle w:val="Textotabla"/>
            </w:pPr>
            <w:r w:rsidRPr="001C6806">
              <w:t>[1]</w:t>
            </w:r>
          </w:p>
        </w:tc>
        <w:tc>
          <w:tcPr>
            <w:tcW w:w="2552" w:type="dxa"/>
            <w:tcBorders>
              <w:top w:val="single" w:sz="4" w:space="0" w:color="7F7F7F" w:themeColor="text1" w:themeTint="80"/>
              <w:bottom w:val="single" w:sz="2" w:space="0" w:color="7F7F7F" w:themeColor="text1" w:themeTint="80"/>
            </w:tcBorders>
            <w:vAlign w:val="center"/>
          </w:tcPr>
          <w:p w14:paraId="0D236C12" w14:textId="77777777" w:rsidR="003E6108" w:rsidRPr="001C6806" w:rsidRDefault="003E6108" w:rsidP="00654E29">
            <w:pPr>
              <w:pStyle w:val="Textotabla"/>
            </w:pPr>
          </w:p>
        </w:tc>
        <w:tc>
          <w:tcPr>
            <w:tcW w:w="2835" w:type="dxa"/>
            <w:tcBorders>
              <w:top w:val="single" w:sz="4" w:space="0" w:color="7F7F7F" w:themeColor="text1" w:themeTint="80"/>
              <w:bottom w:val="single" w:sz="2" w:space="0" w:color="7F7F7F" w:themeColor="text1" w:themeTint="80"/>
            </w:tcBorders>
            <w:vAlign w:val="center"/>
          </w:tcPr>
          <w:p w14:paraId="22F5B473" w14:textId="77777777" w:rsidR="003E6108" w:rsidRPr="001C6806" w:rsidRDefault="003E6108" w:rsidP="00654E29">
            <w:pPr>
              <w:pStyle w:val="Textotabla"/>
            </w:pPr>
          </w:p>
        </w:tc>
        <w:tc>
          <w:tcPr>
            <w:tcW w:w="2084" w:type="dxa"/>
            <w:tcBorders>
              <w:top w:val="single" w:sz="4" w:space="0" w:color="7F7F7F" w:themeColor="text1" w:themeTint="80"/>
              <w:bottom w:val="single" w:sz="2" w:space="0" w:color="7F7F7F" w:themeColor="text1" w:themeTint="80"/>
            </w:tcBorders>
          </w:tcPr>
          <w:p w14:paraId="47186550" w14:textId="77777777" w:rsidR="003E6108" w:rsidRPr="001C6806" w:rsidRDefault="003E6108" w:rsidP="00654E29">
            <w:pPr>
              <w:pStyle w:val="Textotabla"/>
            </w:pPr>
          </w:p>
        </w:tc>
      </w:tr>
      <w:tr w:rsidR="003E6108" w:rsidRPr="001C6806" w14:paraId="4C25ED34" w14:textId="77777777" w:rsidTr="004E0AEC">
        <w:trPr>
          <w:trHeight w:val="619"/>
        </w:trPr>
        <w:tc>
          <w:tcPr>
            <w:tcW w:w="1805" w:type="dxa"/>
            <w:tcBorders>
              <w:top w:val="single" w:sz="4" w:space="0" w:color="7F7F7F" w:themeColor="text1" w:themeTint="80"/>
              <w:bottom w:val="single" w:sz="2" w:space="0" w:color="7F7F7F" w:themeColor="text1" w:themeTint="80"/>
            </w:tcBorders>
            <w:vAlign w:val="center"/>
          </w:tcPr>
          <w:p w14:paraId="502D978F" w14:textId="77777777" w:rsidR="003E6108" w:rsidRPr="001C6806" w:rsidRDefault="004E0AEC" w:rsidP="00654E29">
            <w:pPr>
              <w:pStyle w:val="Textotabla"/>
            </w:pPr>
            <w:r w:rsidRPr="001C6806">
              <w:t>[2]</w:t>
            </w:r>
          </w:p>
        </w:tc>
        <w:tc>
          <w:tcPr>
            <w:tcW w:w="2552" w:type="dxa"/>
            <w:tcBorders>
              <w:top w:val="single" w:sz="4" w:space="0" w:color="7F7F7F" w:themeColor="text1" w:themeTint="80"/>
              <w:bottom w:val="single" w:sz="2" w:space="0" w:color="7F7F7F" w:themeColor="text1" w:themeTint="80"/>
            </w:tcBorders>
            <w:vAlign w:val="center"/>
          </w:tcPr>
          <w:p w14:paraId="001C24BE" w14:textId="77777777" w:rsidR="003E6108" w:rsidRPr="001C6806" w:rsidRDefault="003E6108" w:rsidP="00654E29">
            <w:pPr>
              <w:pStyle w:val="Textotabla"/>
            </w:pPr>
          </w:p>
        </w:tc>
        <w:tc>
          <w:tcPr>
            <w:tcW w:w="2835" w:type="dxa"/>
            <w:tcBorders>
              <w:top w:val="single" w:sz="4" w:space="0" w:color="7F7F7F" w:themeColor="text1" w:themeTint="80"/>
              <w:bottom w:val="single" w:sz="2" w:space="0" w:color="7F7F7F" w:themeColor="text1" w:themeTint="80"/>
            </w:tcBorders>
            <w:vAlign w:val="center"/>
          </w:tcPr>
          <w:p w14:paraId="52BA2DB1" w14:textId="77777777" w:rsidR="003E6108" w:rsidRPr="001C6806" w:rsidRDefault="003E6108" w:rsidP="00654E29">
            <w:pPr>
              <w:pStyle w:val="Textotabla"/>
            </w:pPr>
          </w:p>
        </w:tc>
        <w:tc>
          <w:tcPr>
            <w:tcW w:w="2084" w:type="dxa"/>
            <w:tcBorders>
              <w:top w:val="single" w:sz="4" w:space="0" w:color="7F7F7F" w:themeColor="text1" w:themeTint="80"/>
              <w:bottom w:val="single" w:sz="2" w:space="0" w:color="7F7F7F" w:themeColor="text1" w:themeTint="80"/>
            </w:tcBorders>
          </w:tcPr>
          <w:p w14:paraId="4B77C0A2" w14:textId="77777777" w:rsidR="003E6108" w:rsidRPr="001C6806" w:rsidRDefault="003E6108" w:rsidP="00654E29">
            <w:pPr>
              <w:pStyle w:val="Textotabla"/>
            </w:pPr>
          </w:p>
        </w:tc>
      </w:tr>
      <w:tr w:rsidR="003E6108" w:rsidRPr="001C6806" w14:paraId="11729A3F" w14:textId="77777777" w:rsidTr="004E0AEC">
        <w:trPr>
          <w:trHeight w:val="619"/>
        </w:trPr>
        <w:tc>
          <w:tcPr>
            <w:tcW w:w="1805" w:type="dxa"/>
            <w:tcBorders>
              <w:top w:val="single" w:sz="4" w:space="0" w:color="7F7F7F" w:themeColor="text1" w:themeTint="80"/>
              <w:bottom w:val="single" w:sz="2" w:space="0" w:color="7F7F7F" w:themeColor="text1" w:themeTint="80"/>
            </w:tcBorders>
            <w:vAlign w:val="center"/>
          </w:tcPr>
          <w:p w14:paraId="6609C260" w14:textId="77777777" w:rsidR="003E6108" w:rsidRPr="001C6806" w:rsidRDefault="004E0AEC" w:rsidP="00654E29">
            <w:pPr>
              <w:pStyle w:val="Textotabla"/>
            </w:pPr>
            <w:r w:rsidRPr="001C6806">
              <w:t>[3]</w:t>
            </w:r>
          </w:p>
        </w:tc>
        <w:tc>
          <w:tcPr>
            <w:tcW w:w="2552" w:type="dxa"/>
            <w:tcBorders>
              <w:top w:val="single" w:sz="4" w:space="0" w:color="7F7F7F" w:themeColor="text1" w:themeTint="80"/>
              <w:bottom w:val="single" w:sz="2" w:space="0" w:color="7F7F7F" w:themeColor="text1" w:themeTint="80"/>
            </w:tcBorders>
            <w:vAlign w:val="center"/>
          </w:tcPr>
          <w:p w14:paraId="1F72B897" w14:textId="77777777" w:rsidR="003E6108" w:rsidRPr="001C6806" w:rsidRDefault="003E6108" w:rsidP="00654E29">
            <w:pPr>
              <w:pStyle w:val="Textotabla"/>
            </w:pPr>
          </w:p>
        </w:tc>
        <w:tc>
          <w:tcPr>
            <w:tcW w:w="2835" w:type="dxa"/>
            <w:tcBorders>
              <w:top w:val="single" w:sz="4" w:space="0" w:color="7F7F7F" w:themeColor="text1" w:themeTint="80"/>
              <w:bottom w:val="single" w:sz="2" w:space="0" w:color="7F7F7F" w:themeColor="text1" w:themeTint="80"/>
            </w:tcBorders>
            <w:vAlign w:val="center"/>
          </w:tcPr>
          <w:p w14:paraId="0F2038EC" w14:textId="77777777" w:rsidR="003E6108" w:rsidRPr="001C6806" w:rsidRDefault="003E6108" w:rsidP="00654E29">
            <w:pPr>
              <w:pStyle w:val="Textotabla"/>
            </w:pPr>
          </w:p>
        </w:tc>
        <w:tc>
          <w:tcPr>
            <w:tcW w:w="2084" w:type="dxa"/>
            <w:tcBorders>
              <w:top w:val="single" w:sz="4" w:space="0" w:color="7F7F7F" w:themeColor="text1" w:themeTint="80"/>
              <w:bottom w:val="single" w:sz="2" w:space="0" w:color="7F7F7F" w:themeColor="text1" w:themeTint="80"/>
            </w:tcBorders>
          </w:tcPr>
          <w:p w14:paraId="623474D2" w14:textId="77777777" w:rsidR="003E6108" w:rsidRPr="001C6806" w:rsidRDefault="003E6108" w:rsidP="00654E29">
            <w:pPr>
              <w:pStyle w:val="Textotabla"/>
              <w:rPr>
                <w:highlight w:val="yellow"/>
              </w:rPr>
            </w:pPr>
          </w:p>
        </w:tc>
      </w:tr>
      <w:tr w:rsidR="004E0AEC" w:rsidRPr="001C6806" w14:paraId="3895540E" w14:textId="77777777" w:rsidTr="00654E29">
        <w:trPr>
          <w:trHeight w:val="619"/>
        </w:trPr>
        <w:tc>
          <w:tcPr>
            <w:tcW w:w="9276" w:type="dxa"/>
            <w:gridSpan w:val="4"/>
            <w:tcBorders>
              <w:top w:val="single" w:sz="4" w:space="0" w:color="7F7F7F" w:themeColor="text1" w:themeTint="80"/>
              <w:bottom w:val="single" w:sz="2" w:space="0" w:color="7F7F7F" w:themeColor="text1" w:themeTint="80"/>
            </w:tcBorders>
            <w:vAlign w:val="center"/>
          </w:tcPr>
          <w:p w14:paraId="74942352" w14:textId="77777777" w:rsidR="004E0AEC" w:rsidRPr="001C6806" w:rsidRDefault="004E0AEC" w:rsidP="004E0AEC">
            <w:pPr>
              <w:pStyle w:val="Textotabla"/>
              <w:jc w:val="left"/>
            </w:pPr>
            <w:r w:rsidRPr="001C6806">
              <w:t xml:space="preserve">En consecuencia, teniendo en cuenta el conjunto de pruebas, consideramos que el yacimiento se corresponde con el estadio evolutivo de................. </w:t>
            </w:r>
          </w:p>
          <w:p w14:paraId="721C0915" w14:textId="77777777" w:rsidR="004E0AEC" w:rsidRPr="001C6806" w:rsidRDefault="004E0AEC" w:rsidP="004E0AEC">
            <w:pPr>
              <w:pStyle w:val="Textotabla"/>
              <w:jc w:val="left"/>
            </w:pPr>
            <w:r w:rsidRPr="001C6806">
              <w:t>Con una certidumbre global del ................%</w:t>
            </w:r>
          </w:p>
        </w:tc>
      </w:tr>
    </w:tbl>
    <w:p w14:paraId="53C66671" w14:textId="77777777" w:rsidR="003E6108" w:rsidRPr="001C6806" w:rsidRDefault="003E6108" w:rsidP="003E6108">
      <w:pPr>
        <w:pStyle w:val="Piedegrficooimagen"/>
        <w:spacing w:before="0" w:after="0"/>
        <w:rPr>
          <w:lang w:val="es-ES"/>
        </w:rPr>
      </w:pPr>
      <w:r w:rsidRPr="001C6806">
        <w:rPr>
          <w:lang w:val="es-ES"/>
        </w:rPr>
        <w:t>Fuente: ProyectoC3 (2016).</w:t>
      </w:r>
    </w:p>
    <w:p w14:paraId="7D54D038" w14:textId="77777777" w:rsidR="003E6108" w:rsidRPr="001C6806" w:rsidRDefault="003E6108" w:rsidP="00C2726E">
      <w:pPr>
        <w:pStyle w:val="TextoNormal"/>
        <w:rPr>
          <w:lang w:val="es-ES"/>
        </w:rPr>
      </w:pPr>
    </w:p>
    <w:p w14:paraId="39C4E603" w14:textId="77777777" w:rsidR="004E0AEC" w:rsidRPr="001C6806" w:rsidRDefault="004E0AEC" w:rsidP="00C2726E">
      <w:pPr>
        <w:pStyle w:val="TextoNormal"/>
        <w:rPr>
          <w:lang w:val="es-ES"/>
        </w:rPr>
      </w:pPr>
    </w:p>
    <w:p w14:paraId="51B8C9B2" w14:textId="77777777" w:rsidR="004E0AEC" w:rsidRPr="001C6806" w:rsidRDefault="00A76FF2" w:rsidP="004E0AEC">
      <w:pPr>
        <w:pStyle w:val="Titulodelapartado"/>
        <w:numPr>
          <w:ilvl w:val="1"/>
          <w:numId w:val="8"/>
        </w:numPr>
        <w:rPr>
          <w:lang w:val="es-ES"/>
        </w:rPr>
      </w:pPr>
      <w:r w:rsidRPr="001C6806">
        <w:rPr>
          <w:lang w:val="es-ES"/>
        </w:rPr>
        <w:lastRenderedPageBreak/>
        <w:t xml:space="preserve"> </w:t>
      </w:r>
      <w:r w:rsidR="007C3CAE" w:rsidRPr="001C6806">
        <w:rPr>
          <w:lang w:val="es-ES"/>
        </w:rPr>
        <w:t xml:space="preserve">Microorganismos e infección </w:t>
      </w:r>
    </w:p>
    <w:p w14:paraId="391E8BE1" w14:textId="77777777" w:rsidR="004E0AEC" w:rsidRPr="001C6806" w:rsidRDefault="004E0AEC" w:rsidP="004E0AEC">
      <w:pPr>
        <w:pStyle w:val="TextoNormal"/>
        <w:rPr>
          <w:lang w:val="es-ES"/>
        </w:rPr>
      </w:pPr>
    </w:p>
    <w:p w14:paraId="63E904E3" w14:textId="77777777" w:rsidR="004E0AEC" w:rsidRDefault="007C3CAE" w:rsidP="007843A3">
      <w:pPr>
        <w:pStyle w:val="TextoNormal"/>
        <w:jc w:val="both"/>
        <w:rPr>
          <w:lang w:val="es-ES"/>
        </w:rPr>
      </w:pPr>
      <w:r w:rsidRPr="001C6806">
        <w:rPr>
          <w:lang w:val="es-ES"/>
        </w:rPr>
        <w:t xml:space="preserve">En el trabajo sobre el sistema </w:t>
      </w:r>
      <w:r w:rsidR="00F13026" w:rsidRPr="001C6806">
        <w:rPr>
          <w:lang w:val="es-ES"/>
        </w:rPr>
        <w:t>inmun</w:t>
      </w:r>
      <w:r w:rsidR="00F13026">
        <w:rPr>
          <w:lang w:val="es-ES"/>
        </w:rPr>
        <w:t>itario</w:t>
      </w:r>
      <w:r w:rsidRPr="001C6806">
        <w:rPr>
          <w:lang w:val="es-ES"/>
        </w:rPr>
        <w:t>, a menudo se realizan descripciones sobre las barreras pasivas del sistema i</w:t>
      </w:r>
      <w:r w:rsidR="00F13026">
        <w:rPr>
          <w:lang w:val="es-ES"/>
        </w:rPr>
        <w:t>n</w:t>
      </w:r>
      <w:r w:rsidRPr="001C6806">
        <w:rPr>
          <w:lang w:val="es-ES"/>
        </w:rPr>
        <w:t xml:space="preserve">munitario (la piel, las mucosas…) y las vías de infección y métodos de prevención, incluso como metodología de Estudio de Caso, proponiendo al alumnado que analice las causas o consecuencias de distintas situaciones contextualizadas de infectividad en relación a estos factores. Esto permite desarrollar aspectos conceptuales y procedimentales, pero deja de lado aspectos epistémicos. </w:t>
      </w:r>
    </w:p>
    <w:p w14:paraId="7D6D639C" w14:textId="7DC2A82A" w:rsidR="001C6806" w:rsidRDefault="001C6806" w:rsidP="007843A3">
      <w:pPr>
        <w:pStyle w:val="TextoNormal"/>
        <w:jc w:val="both"/>
        <w:rPr>
          <w:lang w:val="es-ES"/>
        </w:rPr>
      </w:pPr>
      <w:r>
        <w:rPr>
          <w:lang w:val="es-ES"/>
        </w:rPr>
        <w:t xml:space="preserve">El diseño de este acercamiento a la temática puede epistemizarse mediante estrategias de </w:t>
      </w:r>
      <w:r w:rsidR="00654E29">
        <w:rPr>
          <w:lang w:val="es-ES"/>
        </w:rPr>
        <w:t>Argumentación</w:t>
      </w:r>
      <w:r w:rsidR="00C1223D">
        <w:rPr>
          <w:lang w:val="es-ES"/>
        </w:rPr>
        <w:t xml:space="preserve"> y</w:t>
      </w:r>
      <w:r>
        <w:rPr>
          <w:lang w:val="es-ES"/>
        </w:rPr>
        <w:t xml:space="preserve"> Naturaleza de la </w:t>
      </w:r>
      <w:r w:rsidR="007843A3">
        <w:rPr>
          <w:lang w:val="es-ES"/>
        </w:rPr>
        <w:t>Ciencia</w:t>
      </w:r>
      <w:r w:rsidR="00C1223D">
        <w:rPr>
          <w:lang w:val="es-ES"/>
        </w:rPr>
        <w:t>:</w:t>
      </w:r>
    </w:p>
    <w:p w14:paraId="68934E22" w14:textId="77777777" w:rsidR="00654E29" w:rsidRDefault="00654E29" w:rsidP="007843A3">
      <w:pPr>
        <w:pStyle w:val="TextoNormal"/>
        <w:jc w:val="both"/>
        <w:rPr>
          <w:lang w:val="es-ES"/>
        </w:rPr>
      </w:pPr>
    </w:p>
    <w:p w14:paraId="76294EEE" w14:textId="101A8696" w:rsidR="001C6806" w:rsidRDefault="001C6806" w:rsidP="007843A3">
      <w:pPr>
        <w:pStyle w:val="Citatextual"/>
        <w:jc w:val="both"/>
        <w:rPr>
          <w:lang w:val="es-ES"/>
        </w:rPr>
      </w:pPr>
      <w:r>
        <w:rPr>
          <w:i/>
          <w:color w:val="auto"/>
          <w:lang w:val="es-ES"/>
        </w:rPr>
        <w:t xml:space="preserve">¿Se incorporan datos </w:t>
      </w:r>
      <w:r w:rsidRPr="001C6806">
        <w:rPr>
          <w:i/>
          <w:color w:val="auto"/>
          <w:lang w:val="es-ES"/>
        </w:rPr>
        <w:t>para su uso como prueba</w:t>
      </w:r>
      <w:r>
        <w:rPr>
          <w:i/>
          <w:color w:val="auto"/>
          <w:lang w:val="es-ES"/>
        </w:rPr>
        <w:t>s? ¿Se incorporan tareas en las que haya</w:t>
      </w:r>
      <w:r w:rsidR="00043370">
        <w:rPr>
          <w:i/>
          <w:color w:val="auto"/>
          <w:lang w:val="es-ES"/>
        </w:rPr>
        <w:t xml:space="preserve"> </w:t>
      </w:r>
      <w:r w:rsidRPr="001C6806">
        <w:rPr>
          <w:i/>
          <w:color w:val="auto"/>
          <w:lang w:val="es-ES"/>
        </w:rPr>
        <w:t>que construir o formular modelos explicativos (interpretaciones) a partir de datos</w:t>
      </w:r>
      <w:r w:rsidR="00950E9D">
        <w:rPr>
          <w:i/>
          <w:color w:val="auto"/>
          <w:lang w:val="es-ES"/>
        </w:rPr>
        <w:t xml:space="preserve">? Se </w:t>
      </w:r>
      <w:r w:rsidR="001B5740">
        <w:rPr>
          <w:i/>
          <w:color w:val="auto"/>
          <w:lang w:val="es-ES"/>
        </w:rPr>
        <w:t xml:space="preserve">incluyen </w:t>
      </w:r>
      <w:r w:rsidR="001B5740" w:rsidRPr="001C6806">
        <w:rPr>
          <w:i/>
          <w:color w:val="auto"/>
          <w:lang w:val="es-ES"/>
        </w:rPr>
        <w:t>géneros</w:t>
      </w:r>
      <w:r w:rsidRPr="001C6806">
        <w:rPr>
          <w:i/>
          <w:color w:val="auto"/>
          <w:lang w:val="es-ES"/>
        </w:rPr>
        <w:t xml:space="preserve"> textuales propios de las </w:t>
      </w:r>
      <w:r w:rsidR="007843A3">
        <w:rPr>
          <w:i/>
          <w:color w:val="auto"/>
          <w:lang w:val="es-ES"/>
        </w:rPr>
        <w:t>ciencia</w:t>
      </w:r>
      <w:r w:rsidRPr="001C6806">
        <w:rPr>
          <w:i/>
          <w:color w:val="auto"/>
          <w:lang w:val="es-ES"/>
        </w:rPr>
        <w:t>s</w:t>
      </w:r>
      <w:r w:rsidR="00950E9D">
        <w:rPr>
          <w:i/>
          <w:color w:val="auto"/>
          <w:lang w:val="es-ES"/>
        </w:rPr>
        <w:t xml:space="preserve">? ¿Se identifican </w:t>
      </w:r>
      <w:r w:rsidRPr="001C6806">
        <w:rPr>
          <w:i/>
          <w:color w:val="auto"/>
          <w:lang w:val="es-ES"/>
        </w:rPr>
        <w:t>de forma explícita distintos tipos de sesgos</w:t>
      </w:r>
      <w:r w:rsidR="00950E9D">
        <w:rPr>
          <w:i/>
          <w:color w:val="auto"/>
          <w:lang w:val="es-ES"/>
        </w:rPr>
        <w:t xml:space="preserve">? ¿Se identifican </w:t>
      </w:r>
      <w:r w:rsidRPr="001C6806">
        <w:rPr>
          <w:i/>
          <w:color w:val="auto"/>
          <w:lang w:val="es-ES"/>
        </w:rPr>
        <w:t>int</w:t>
      </w:r>
      <w:r w:rsidR="00950E9D">
        <w:rPr>
          <w:i/>
          <w:color w:val="auto"/>
          <w:lang w:val="es-ES"/>
        </w:rPr>
        <w:t>ereses, grupos de poder y roles?</w:t>
      </w:r>
      <w:r w:rsidR="00043370">
        <w:rPr>
          <w:lang w:val="es-ES"/>
        </w:rPr>
        <w:t xml:space="preserve"> </w:t>
      </w:r>
    </w:p>
    <w:p w14:paraId="29C605D6" w14:textId="77777777" w:rsidR="00654E29" w:rsidRPr="001C6806" w:rsidRDefault="00654E29" w:rsidP="007843A3">
      <w:pPr>
        <w:pStyle w:val="Citatextual"/>
        <w:jc w:val="both"/>
        <w:rPr>
          <w:lang w:val="es-ES"/>
        </w:rPr>
      </w:pPr>
    </w:p>
    <w:p w14:paraId="2CDAA282" w14:textId="5F1C5B41" w:rsidR="00A76FF2" w:rsidRPr="001C6806" w:rsidRDefault="007C3CAE" w:rsidP="007843A3">
      <w:pPr>
        <w:pStyle w:val="TextoNormal"/>
        <w:jc w:val="both"/>
        <w:rPr>
          <w:lang w:val="es-ES"/>
        </w:rPr>
      </w:pPr>
      <w:r w:rsidRPr="001C6806">
        <w:rPr>
          <w:lang w:val="es-ES"/>
        </w:rPr>
        <w:t>La propuesta de Acevedo, García Carmona y Aragón (</w:t>
      </w:r>
      <w:r w:rsidR="009B3D50" w:rsidRPr="001C6806">
        <w:rPr>
          <w:lang w:val="es-ES"/>
        </w:rPr>
        <w:t xml:space="preserve">2016) propone ubicar el trabajo de esta temática en un caso de Historia de la </w:t>
      </w:r>
      <w:r w:rsidR="007843A3">
        <w:rPr>
          <w:lang w:val="es-ES"/>
        </w:rPr>
        <w:t>Ciencia</w:t>
      </w:r>
      <w:r w:rsidR="009B3D50" w:rsidRPr="001C6806">
        <w:rPr>
          <w:lang w:val="es-ES"/>
        </w:rPr>
        <w:t xml:space="preserve">, en la que se propone al alumnado </w:t>
      </w:r>
      <w:r w:rsidR="001C6806" w:rsidRPr="001C6806">
        <w:rPr>
          <w:lang w:val="es-ES"/>
        </w:rPr>
        <w:t xml:space="preserve">la lectura del documento histórico </w:t>
      </w:r>
      <w:r w:rsidR="001C6806">
        <w:rPr>
          <w:lang w:val="es-ES"/>
        </w:rPr>
        <w:t>que incluye fragmentos</w:t>
      </w:r>
      <w:r w:rsidR="001C6806" w:rsidRPr="001C6806">
        <w:rPr>
          <w:lang w:val="es-ES"/>
        </w:rPr>
        <w:t xml:space="preserve"> </w:t>
      </w:r>
      <w:r w:rsidR="001B5740">
        <w:rPr>
          <w:lang w:val="es-ES"/>
        </w:rPr>
        <w:t>del d</w:t>
      </w:r>
      <w:r w:rsidR="001C6806" w:rsidRPr="001C6806">
        <w:rPr>
          <w:lang w:val="es-ES"/>
        </w:rPr>
        <w:t>iario de Semmelweiss sobre las fiebres pu</w:t>
      </w:r>
      <w:r w:rsidR="001C6806">
        <w:rPr>
          <w:lang w:val="es-ES"/>
        </w:rPr>
        <w:t>erperales. Semmelweiss fue un médico que, en 1846, asume el puesto de doctor en una clínica de maternidad</w:t>
      </w:r>
      <w:r w:rsidR="00C1223D">
        <w:rPr>
          <w:lang w:val="es-ES"/>
        </w:rPr>
        <w:t xml:space="preserve"> y descubrió que la causa de las fiebres que sufrían muchas mujeres después del parto era que los médicos que asistían a las parturientas no se lavaban las manos después de trabajar con cadáveres, diseminando infecciones</w:t>
      </w:r>
      <w:r w:rsidR="001C6806">
        <w:rPr>
          <w:lang w:val="es-ES"/>
        </w:rPr>
        <w:t>. El texto</w:t>
      </w:r>
      <w:r w:rsidR="00F13026">
        <w:rPr>
          <w:lang w:val="es-ES"/>
        </w:rPr>
        <w:t xml:space="preserve"> y la guía de preguntas a debatir durante la actividad</w:t>
      </w:r>
      <w:r w:rsidR="001C6806">
        <w:rPr>
          <w:lang w:val="es-ES"/>
        </w:rPr>
        <w:t xml:space="preserve"> incluye distintos datos científicos para analizar, pero también un análisis de las razones y sesgos </w:t>
      </w:r>
      <w:r w:rsidR="00C1223D">
        <w:rPr>
          <w:lang w:val="es-ES"/>
        </w:rPr>
        <w:t xml:space="preserve">(vinculados a estereotipos de género y racistas) que generaron en la comunidad hospitalaria resistencias a aceptar las ideas y razonamientos de Semmelweiss. </w:t>
      </w:r>
    </w:p>
    <w:p w14:paraId="5A991ECE" w14:textId="77777777" w:rsidR="00A76FF2" w:rsidRPr="001C6806" w:rsidRDefault="00A76FF2" w:rsidP="007843A3">
      <w:pPr>
        <w:pStyle w:val="TextoNormal"/>
        <w:ind w:firstLine="0"/>
        <w:jc w:val="both"/>
        <w:rPr>
          <w:lang w:val="es-ES"/>
        </w:rPr>
      </w:pPr>
    </w:p>
    <w:p w14:paraId="3F3FACE9" w14:textId="77777777" w:rsidR="004E0AEC" w:rsidRPr="001C6806" w:rsidRDefault="004E0AEC" w:rsidP="007843A3">
      <w:pPr>
        <w:pStyle w:val="Titulodelapartado"/>
        <w:numPr>
          <w:ilvl w:val="1"/>
          <w:numId w:val="8"/>
        </w:numPr>
        <w:jc w:val="both"/>
        <w:rPr>
          <w:lang w:val="es-ES"/>
        </w:rPr>
      </w:pPr>
      <w:r w:rsidRPr="001C6806">
        <w:rPr>
          <w:lang w:val="es-ES"/>
        </w:rPr>
        <w:t>Contextualizando las vacunas</w:t>
      </w:r>
    </w:p>
    <w:p w14:paraId="08D94BF4" w14:textId="77777777" w:rsidR="004E0AEC" w:rsidRPr="001C6806" w:rsidRDefault="004E0AEC" w:rsidP="007843A3">
      <w:pPr>
        <w:pStyle w:val="TextoNormal"/>
        <w:jc w:val="both"/>
        <w:rPr>
          <w:lang w:val="es-ES"/>
        </w:rPr>
      </w:pPr>
    </w:p>
    <w:p w14:paraId="134372EF" w14:textId="77777777" w:rsidR="004E0AEC" w:rsidRPr="001C6806" w:rsidRDefault="004E0AEC" w:rsidP="007843A3">
      <w:pPr>
        <w:pStyle w:val="TextoNormal"/>
        <w:jc w:val="both"/>
        <w:rPr>
          <w:lang w:val="es-ES"/>
        </w:rPr>
      </w:pPr>
      <w:r w:rsidRPr="001C6806">
        <w:rPr>
          <w:lang w:val="es-ES"/>
        </w:rPr>
        <w:t xml:space="preserve">Al tratar temáticas vinculadas a controversias, como la vacunación, una propuesta frecuente es realizar una lectura crítica de distintas fuentes, con el objetivo de diferenciar la conexión de los distintos posicionamientos con los modelos científicos sobre la seguridad y mecanismos de actuación de las vacunas. </w:t>
      </w:r>
    </w:p>
    <w:p w14:paraId="1D9D0382" w14:textId="51C7586D" w:rsidR="004E0AEC" w:rsidRDefault="004E0AEC" w:rsidP="007843A3">
      <w:pPr>
        <w:pStyle w:val="TextoNormal"/>
        <w:jc w:val="both"/>
        <w:rPr>
          <w:lang w:val="es-ES"/>
        </w:rPr>
      </w:pPr>
      <w:r w:rsidRPr="001C6806">
        <w:rPr>
          <w:lang w:val="es-ES"/>
        </w:rPr>
        <w:t xml:space="preserve">Esta actividad puede permitir desplegar distintos ejes epistémicos, en particular los relativos a la Naturaleza de la </w:t>
      </w:r>
      <w:r w:rsidR="007843A3">
        <w:rPr>
          <w:lang w:val="es-ES"/>
        </w:rPr>
        <w:t>Ciencia</w:t>
      </w:r>
      <w:r w:rsidRPr="001C6806">
        <w:rPr>
          <w:lang w:val="es-ES"/>
        </w:rPr>
        <w:t xml:space="preserve"> y la Cognición epistémica mediante distintas instancias: </w:t>
      </w:r>
    </w:p>
    <w:p w14:paraId="2B9C4D0C" w14:textId="77777777" w:rsidR="00654E29" w:rsidRPr="001C6806" w:rsidRDefault="00654E29" w:rsidP="007843A3">
      <w:pPr>
        <w:pStyle w:val="TextoNormal"/>
        <w:jc w:val="both"/>
        <w:rPr>
          <w:lang w:val="es-ES"/>
        </w:rPr>
      </w:pPr>
    </w:p>
    <w:p w14:paraId="26448F64" w14:textId="77777777" w:rsidR="004E0AEC" w:rsidRDefault="004E0AEC" w:rsidP="007843A3">
      <w:pPr>
        <w:pStyle w:val="Citatextual"/>
        <w:jc w:val="both"/>
        <w:rPr>
          <w:i/>
          <w:color w:val="auto"/>
          <w:lang w:val="es-ES"/>
        </w:rPr>
      </w:pPr>
      <w:r w:rsidRPr="001C6806">
        <w:rPr>
          <w:i/>
          <w:color w:val="auto"/>
          <w:lang w:val="es-ES"/>
        </w:rPr>
        <w:t>¿Se Interpela al alumnado por el grado y fuentes de certidumbre de alguna proposición?¿Se identifican los propios sesgos? ¿Se asocian los sesgos a distintas vulnerabilidades? ¿Se identifican intereses o roles? ¿Se realizan contrastes de ventajas/inconvenientes o riesgos?</w:t>
      </w:r>
    </w:p>
    <w:p w14:paraId="2F3DB47D" w14:textId="77777777" w:rsidR="00654E29" w:rsidRPr="001C6806" w:rsidRDefault="00654E29" w:rsidP="007843A3">
      <w:pPr>
        <w:pStyle w:val="Citatextual"/>
        <w:jc w:val="both"/>
        <w:rPr>
          <w:i/>
          <w:color w:val="auto"/>
          <w:lang w:val="es-ES"/>
        </w:rPr>
      </w:pPr>
    </w:p>
    <w:p w14:paraId="6D41EBFC" w14:textId="77777777" w:rsidR="004E0AEC" w:rsidRPr="001C6806" w:rsidRDefault="004E0AEC" w:rsidP="007843A3">
      <w:pPr>
        <w:pStyle w:val="TextoNormal"/>
        <w:jc w:val="both"/>
        <w:rPr>
          <w:lang w:val="es-ES"/>
        </w:rPr>
      </w:pPr>
      <w:r w:rsidRPr="001C6806">
        <w:rPr>
          <w:lang w:val="es-ES"/>
        </w:rPr>
        <w:t>Por eso, en la propuesta didáctica “¿Vacunamos?”, (Domènech-Casal, 2019</w:t>
      </w:r>
      <w:r w:rsidR="00F13026">
        <w:rPr>
          <w:lang w:val="es-ES"/>
        </w:rPr>
        <w:t>b</w:t>
      </w:r>
      <w:r w:rsidRPr="001C6806">
        <w:rPr>
          <w:lang w:val="es-ES"/>
        </w:rPr>
        <w:t>) el alumnado realiza un análisis de los argumentos de distintos textos, seleccionando aquellos que considera relevantes para posicionarse ante la controversia de si debe hacerse la vacunación obligatoria. El uso de las estrategias propuestas llevó a que, después de clasificar los argumentos que ha seleccionado cada uno como relevantes según el tipo de fundamento que los sustenta (Autoridad, Modelo científico, Hábitos,…), se pide a cada alumno/a que contabilice los argumentos de cada tipo que ha sido capaz de identificar y represente como perfil epistémico (Gráfico 4) a qué tipos de argumentos ha dado más importancia.</w:t>
      </w:r>
    </w:p>
    <w:p w14:paraId="150714D1" w14:textId="6365AAE5" w:rsidR="004E0AEC" w:rsidRPr="001C6806" w:rsidRDefault="004E0AEC" w:rsidP="007843A3">
      <w:pPr>
        <w:pStyle w:val="TextoNormal"/>
        <w:jc w:val="both"/>
        <w:rPr>
          <w:lang w:val="es-ES"/>
        </w:rPr>
      </w:pPr>
      <w:r w:rsidRPr="001C6806">
        <w:rPr>
          <w:lang w:val="es-ES"/>
        </w:rPr>
        <w:t>La formación de distintos perfiles epistémicos es un punto de partida para</w:t>
      </w:r>
      <w:r w:rsidR="00043370">
        <w:rPr>
          <w:lang w:val="es-ES"/>
        </w:rPr>
        <w:t xml:space="preserve"> </w:t>
      </w:r>
      <w:r w:rsidRPr="001C6806">
        <w:rPr>
          <w:lang w:val="es-ES"/>
        </w:rPr>
        <w:t xml:space="preserve">discutir las vulnerabilidades de cada perfil (Si doy mucha importancia a los argumentos de autoridad, eso me hace vulnerable si no elijo bien la autoridad), y cómo distintos actores (empresas de venta de </w:t>
      </w:r>
      <w:r w:rsidRPr="001C6806">
        <w:rPr>
          <w:lang w:val="es-ES"/>
        </w:rPr>
        <w:lastRenderedPageBreak/>
        <w:t>productos médicos, gobiernos, creencias institucionalizadas,…) pueden aprovechar esas vulnerabilidades.</w:t>
      </w:r>
    </w:p>
    <w:p w14:paraId="4BB6498D" w14:textId="77777777" w:rsidR="004E0AEC" w:rsidRPr="001C6806" w:rsidRDefault="004E0AEC" w:rsidP="007843A3">
      <w:pPr>
        <w:pStyle w:val="TextoNormal"/>
        <w:jc w:val="both"/>
        <w:rPr>
          <w:lang w:val="es-ES"/>
        </w:rPr>
      </w:pPr>
    </w:p>
    <w:p w14:paraId="1492C305" w14:textId="49DB2449" w:rsidR="004E0AEC" w:rsidRPr="001C6806" w:rsidRDefault="004E0AEC" w:rsidP="00043370">
      <w:pPr>
        <w:jc w:val="both"/>
        <w:rPr>
          <w:lang w:val="es-ES"/>
        </w:rPr>
      </w:pPr>
      <w:r w:rsidRPr="001C6806">
        <w:rPr>
          <w:b/>
          <w:smallCaps/>
          <w:sz w:val="22"/>
          <w:lang w:val="es-ES"/>
        </w:rPr>
        <w:t xml:space="preserve">Gráfico 4. </w:t>
      </w:r>
      <w:r w:rsidRPr="001C6806">
        <w:rPr>
          <w:sz w:val="22"/>
          <w:lang w:val="es-ES"/>
        </w:rPr>
        <w:t>Ejemplo de perfil epistémico analizando las propias tendencias al seleccionar argumentos</w:t>
      </w:r>
    </w:p>
    <w:p w14:paraId="5D505BAD" w14:textId="77777777" w:rsidR="004E0AEC" w:rsidRPr="001C6806" w:rsidRDefault="004E0AEC" w:rsidP="007843A3">
      <w:pPr>
        <w:pStyle w:val="TextoNormal"/>
        <w:jc w:val="both"/>
        <w:rPr>
          <w:lang w:val="es-ES"/>
        </w:rPr>
      </w:pPr>
      <w:r w:rsidRPr="001C6806">
        <w:rPr>
          <w:b/>
          <w:noProof/>
          <w:lang w:val="es-ES" w:eastAsia="es-ES"/>
        </w:rPr>
        <w:drawing>
          <wp:inline distT="0" distB="0" distL="0" distR="0" wp14:anchorId="7C88B615" wp14:editId="23BE2C15">
            <wp:extent cx="3648945" cy="2798433"/>
            <wp:effectExtent l="0" t="0" r="889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49954" cy="2799207"/>
                    </a:xfrm>
                    <a:prstGeom prst="rect">
                      <a:avLst/>
                    </a:prstGeom>
                  </pic:spPr>
                </pic:pic>
              </a:graphicData>
            </a:graphic>
          </wp:inline>
        </w:drawing>
      </w:r>
    </w:p>
    <w:p w14:paraId="6ED9D2E9" w14:textId="77777777" w:rsidR="00C2726E" w:rsidRPr="001C6806" w:rsidRDefault="00C2726E" w:rsidP="007843A3">
      <w:pPr>
        <w:pStyle w:val="TextoNormal"/>
        <w:jc w:val="both"/>
        <w:rPr>
          <w:lang w:val="es-ES"/>
        </w:rPr>
      </w:pPr>
    </w:p>
    <w:p w14:paraId="357D3765" w14:textId="77777777" w:rsidR="004E0AEC" w:rsidRPr="001C6806" w:rsidRDefault="004E0AEC" w:rsidP="007843A3">
      <w:pPr>
        <w:spacing w:after="57" w:line="264" w:lineRule="auto"/>
        <w:jc w:val="both"/>
        <w:rPr>
          <w:rFonts w:ascii="Palatino Linotype" w:eastAsia="Palatino Linotype" w:hAnsi="Palatino Linotype" w:cs="Palatino Linotype"/>
          <w:b/>
          <w:color w:val="000000" w:themeColor="text1"/>
          <w:lang w:val="es-ES"/>
        </w:rPr>
      </w:pPr>
    </w:p>
    <w:p w14:paraId="1FC2F62F" w14:textId="77777777" w:rsidR="004E0AEC" w:rsidRPr="001C6806" w:rsidRDefault="004E0AEC" w:rsidP="007843A3">
      <w:pPr>
        <w:pStyle w:val="Encabezado1"/>
        <w:numPr>
          <w:ilvl w:val="0"/>
          <w:numId w:val="7"/>
        </w:numPr>
        <w:spacing w:before="0" w:after="0"/>
        <w:jc w:val="both"/>
        <w:rPr>
          <w:lang w:val="es-ES"/>
        </w:rPr>
      </w:pPr>
      <w:r w:rsidRPr="001C6806">
        <w:rPr>
          <w:lang w:val="es-ES"/>
        </w:rPr>
        <w:t>DISCUSIÓN Y CONCLUSIONES</w:t>
      </w:r>
    </w:p>
    <w:p w14:paraId="156B3069" w14:textId="77777777" w:rsidR="004E0AEC" w:rsidRPr="001C6806" w:rsidRDefault="004E0AEC" w:rsidP="007843A3">
      <w:pPr>
        <w:pStyle w:val="Indicador2"/>
        <w:rPr>
          <w:lang w:val="es-ES"/>
        </w:rPr>
      </w:pPr>
    </w:p>
    <w:p w14:paraId="4C2CDC9F" w14:textId="77777777" w:rsidR="004E0AEC" w:rsidRPr="001C6806" w:rsidRDefault="004E0AEC" w:rsidP="007843A3">
      <w:pPr>
        <w:pStyle w:val="TextoNormal"/>
        <w:jc w:val="both"/>
        <w:rPr>
          <w:lang w:val="es-ES"/>
        </w:rPr>
      </w:pPr>
      <w:r w:rsidRPr="001C6806">
        <w:rPr>
          <w:lang w:val="es-ES"/>
        </w:rPr>
        <w:t>Las propuestas que presentamos se orientan a mostrar actividades de aula epistemizadas, es decir, actividades que además de la dimensión conceptual o procedimental incorporan también la dimensión epistémica.</w:t>
      </w:r>
    </w:p>
    <w:p w14:paraId="7018AD9B" w14:textId="4C3CE3A4" w:rsidR="004E0AEC" w:rsidRPr="001C6806" w:rsidRDefault="004E0AEC" w:rsidP="007843A3">
      <w:pPr>
        <w:pStyle w:val="TextoNormal"/>
        <w:jc w:val="both"/>
        <w:rPr>
          <w:lang w:val="es-ES"/>
        </w:rPr>
      </w:pPr>
      <w:r w:rsidRPr="001C6806">
        <w:rPr>
          <w:lang w:val="es-ES"/>
        </w:rPr>
        <w:t>Este tipo de</w:t>
      </w:r>
      <w:bookmarkStart w:id="0" w:name="_GoBack"/>
      <w:bookmarkEnd w:id="0"/>
      <w:r w:rsidRPr="001C6806">
        <w:rPr>
          <w:lang w:val="es-ES"/>
        </w:rPr>
        <w:t xml:space="preserve"> actividades se alejan de las típicas actividades o unidades didácticas sobre el “Método científico”, donde el alumnado aprendía a identificar variables, formular hipótesis, etc. a partir de fenómenos cotidianos </w:t>
      </w:r>
      <w:r w:rsidRPr="00F13026">
        <w:rPr>
          <w:i/>
          <w:lang w:val="es-ES"/>
        </w:rPr>
        <w:t>(¿Qué pañal absorbe más líquido?</w:t>
      </w:r>
      <w:r w:rsidRPr="001C6806">
        <w:rPr>
          <w:lang w:val="es-ES"/>
        </w:rPr>
        <w:t>) de un modo desligado de la construcción de modelos interpretativos, que es poco producente</w:t>
      </w:r>
      <w:r w:rsidR="001B5740">
        <w:rPr>
          <w:lang w:val="es-ES"/>
        </w:rPr>
        <w:t xml:space="preserve"> tanto</w:t>
      </w:r>
      <w:r w:rsidRPr="001C6806">
        <w:rPr>
          <w:lang w:val="es-ES"/>
        </w:rPr>
        <w:t xml:space="preserve"> para la dimensión procedimental como para la epistémica. Aprender </w:t>
      </w:r>
      <w:r w:rsidR="007843A3">
        <w:rPr>
          <w:lang w:val="es-ES"/>
        </w:rPr>
        <w:t>ciencia</w:t>
      </w:r>
      <w:r w:rsidRPr="001C6806">
        <w:rPr>
          <w:lang w:val="es-ES"/>
        </w:rPr>
        <w:t xml:space="preserve">s es aprender las prácticas científicas por lo que no se puede aprender a pensar científicamente si no se hace “haciendo” </w:t>
      </w:r>
      <w:r w:rsidR="007843A3">
        <w:rPr>
          <w:lang w:val="es-ES"/>
        </w:rPr>
        <w:t>ciencia</w:t>
      </w:r>
      <w:r w:rsidRPr="001C6806">
        <w:rPr>
          <w:lang w:val="es-ES"/>
        </w:rPr>
        <w:t xml:space="preserve"> y pensando cómo se está haciendo. Más que concentrar el despliegue de la dimensión epistémica en momentos concretos, el desarrollo de esta dimensión requiere de un currículum epistémico persistente, que explicite y deje de excluir la dimensión epistémica que los propios contenidos y procedimientos de la </w:t>
      </w:r>
      <w:r w:rsidR="007843A3">
        <w:rPr>
          <w:lang w:val="es-ES"/>
        </w:rPr>
        <w:t>Ciencia</w:t>
      </w:r>
      <w:r w:rsidRPr="001C6806">
        <w:rPr>
          <w:lang w:val="es-ES"/>
        </w:rPr>
        <w:t xml:space="preserve"> ya contienen. Esto puede conseguirse usando las estrategias que hemos propuesto para hacer pequeñas modificaciones en el diseño de actividades preexistentes. Por otro lado, que el alumnado “sepa” usar la mirada de la </w:t>
      </w:r>
      <w:r w:rsidR="007843A3">
        <w:rPr>
          <w:lang w:val="es-ES"/>
        </w:rPr>
        <w:t>Ciencia</w:t>
      </w:r>
      <w:r w:rsidRPr="001C6806">
        <w:rPr>
          <w:lang w:val="es-ES"/>
        </w:rPr>
        <w:t xml:space="preserve"> o diferenciarla de otras miradas puede no ser suficiente (hay que conseguir que “quiera” hacerlo). Esto implica también aspectos identitarios relativos a la relación con la </w:t>
      </w:r>
      <w:r w:rsidR="007843A3">
        <w:rPr>
          <w:lang w:val="es-ES"/>
        </w:rPr>
        <w:t>ciencia</w:t>
      </w:r>
      <w:r w:rsidRPr="001C6806">
        <w:rPr>
          <w:lang w:val="es-ES"/>
        </w:rPr>
        <w:t xml:space="preserve"> (Lupión y Girón, 2020) que no deben descuidarse, por su importancia en relación a la cognición epistémica. </w:t>
      </w:r>
    </w:p>
    <w:p w14:paraId="7DC8F815" w14:textId="34931429" w:rsidR="004E0AEC" w:rsidRPr="001C6806" w:rsidRDefault="004E0AEC" w:rsidP="007843A3">
      <w:pPr>
        <w:pStyle w:val="TextoNormal"/>
        <w:jc w:val="both"/>
        <w:rPr>
          <w:lang w:val="es-ES"/>
        </w:rPr>
      </w:pPr>
      <w:r w:rsidRPr="001C6806">
        <w:rPr>
          <w:lang w:val="es-ES"/>
        </w:rPr>
        <w:t xml:space="preserve">A pesar que las actividades que hemos usado para ejemplificar las instancias y ejes son de secundaria, queremos insistir en que la competencia científica, incluyendo todos sus componentes, se debe trabajar desde el inicio de la escolarización. Es decir, del mismo modo que se han desarrollado los contenidos conceptuales en las distintas etapas educativas, es necesario también desglosar los componentes de la dimensión epistémica para que se puedan trabajar en todas las etapas. Igualmente, las propuestas expuestas en este artículo se centran a nivel de actividad didáctica, pero tienen efectos exponenciales cuando se hacen a nivel de centro, e implican también una reflexión profunda sobre el contenido que trabajamos. Esto requiere la incorporación de una </w:t>
      </w:r>
      <w:r w:rsidRPr="001C6806">
        <w:rPr>
          <w:lang w:val="es-ES"/>
        </w:rPr>
        <w:lastRenderedPageBreak/>
        <w:t xml:space="preserve">cultura epistémica en el profesorado, el alumnado y las familias, por lo que seguramente los primeros intentos no serán del todo exitosos. Es interesante para esa planificación más ambiciosa consultar la propuesta que se hace en el currículo de </w:t>
      </w:r>
      <w:r w:rsidR="007843A3">
        <w:rPr>
          <w:lang w:val="es-ES"/>
        </w:rPr>
        <w:t>ciencia</w:t>
      </w:r>
      <w:r w:rsidRPr="001C6806">
        <w:rPr>
          <w:lang w:val="es-ES"/>
        </w:rPr>
        <w:t xml:space="preserve">s de los EEUU donde se puede ver cómo se desarrollan todas las dimensiones en las distintas etapas: https://www.nextgenscience.org/ , y que puede intuirse que requiere un trabajo conjunto como equipo docente a lo largo de los varios cursos. </w:t>
      </w:r>
    </w:p>
    <w:p w14:paraId="21E249AC" w14:textId="77777777" w:rsidR="004E0AEC" w:rsidRPr="001C6806" w:rsidRDefault="004E0AEC" w:rsidP="007843A3">
      <w:pPr>
        <w:pStyle w:val="TextoNormal"/>
        <w:jc w:val="both"/>
        <w:rPr>
          <w:lang w:val="es-ES"/>
        </w:rPr>
      </w:pPr>
      <w:r w:rsidRPr="001C6806">
        <w:rPr>
          <w:lang w:val="es-ES"/>
        </w:rPr>
        <w:t>Igualmente, requiere de una mirada curricular que incluya los aspectos relativos a la dimensión epistémica en la evaluación (Cañal, 2012). En este sentido, existen algunos cuestionarios para evaluar aspectos de la dimensión epistémica (Moreno, Zuñiga, Cofré y Merino, 2018, García-Carmona, Vázquez y Manassero, 2012) y ejemplos como las propuestas de pruebas PISA (Franco-Mariscal, Blanco-López y Enrique España-Ramos, 2017, Vázquez y Manassero-Mas, 2018), si bien algunos autores describen que es complejo evaluar la dimensión epistémica de forma aislada de la dimensión procedimental (Vázquez y Manassero, 2018).</w:t>
      </w:r>
    </w:p>
    <w:p w14:paraId="013111B2" w14:textId="779795FC" w:rsidR="004E0AEC" w:rsidRPr="001C6806" w:rsidRDefault="004E0AEC" w:rsidP="007843A3">
      <w:pPr>
        <w:pStyle w:val="TextoNormal"/>
        <w:jc w:val="both"/>
        <w:rPr>
          <w:lang w:val="es-ES"/>
        </w:rPr>
      </w:pPr>
      <w:r w:rsidRPr="001C6806">
        <w:rPr>
          <w:lang w:val="es-ES"/>
        </w:rPr>
        <w:t xml:space="preserve">La Figura 2 y los ejes de actuación que se proponen en este artículo pretenden proponer al profesorado una ventana para trasladar a la práctica los marcos de referencia que han sido trabajados desde hace ya muchos años por distintos grupos de investigación. Nos parece que este artículo puede ser útil para el profesorado que desee profundizar con el trabajo de estos grupos en nuestro ámbito más cercano. Así, para profundizar cómo incorporar la Naturaleza de la </w:t>
      </w:r>
      <w:r w:rsidR="007843A3">
        <w:rPr>
          <w:lang w:val="es-ES"/>
        </w:rPr>
        <w:t>Ciencia</w:t>
      </w:r>
      <w:r w:rsidRPr="001C6806">
        <w:rPr>
          <w:lang w:val="es-ES"/>
        </w:rPr>
        <w:t xml:space="preserve"> se pu</w:t>
      </w:r>
      <w:r w:rsidR="00F13026">
        <w:rPr>
          <w:lang w:val="es-ES"/>
        </w:rPr>
        <w:t xml:space="preserve">eden consultar </w:t>
      </w:r>
      <w:r w:rsidR="00043370">
        <w:rPr>
          <w:lang w:val="es-ES"/>
        </w:rPr>
        <w:t xml:space="preserve">entre otros </w:t>
      </w:r>
      <w:r w:rsidR="00F13026">
        <w:rPr>
          <w:lang w:val="es-ES"/>
        </w:rPr>
        <w:t xml:space="preserve">los trabajos de </w:t>
      </w:r>
      <w:r w:rsidR="00043370">
        <w:rPr>
          <w:lang w:val="es-ES"/>
        </w:rPr>
        <w:t>García-Carmona, Vázquez</w:t>
      </w:r>
      <w:r w:rsidRPr="001C6806">
        <w:rPr>
          <w:lang w:val="es-ES"/>
        </w:rPr>
        <w:t xml:space="preserve"> y Manassero (2012) o Acevedo (2008). Es también muy interesante la participación de estos, y otros autores, en la incorporación del movimiento </w:t>
      </w:r>
      <w:r w:rsidR="007843A3">
        <w:rPr>
          <w:lang w:val="es-ES"/>
        </w:rPr>
        <w:t>Ciencia</w:t>
      </w:r>
      <w:r w:rsidRPr="001C6806">
        <w:rPr>
          <w:lang w:val="es-ES"/>
        </w:rPr>
        <w:t xml:space="preserve">, Tecnología y Sociedad (CTS) a la enseñanza de las </w:t>
      </w:r>
      <w:r w:rsidR="007843A3">
        <w:rPr>
          <w:lang w:val="es-ES"/>
        </w:rPr>
        <w:t>ciencia</w:t>
      </w:r>
      <w:r w:rsidRPr="001C6806">
        <w:rPr>
          <w:lang w:val="es-ES"/>
        </w:rPr>
        <w:t>s. Sobre uso de pruebas y argumentación, el lector encontrará los fundamentos didácticos en el trabajo del grupo de</w:t>
      </w:r>
      <w:r w:rsidR="00043370">
        <w:rPr>
          <w:lang w:val="es-ES"/>
        </w:rPr>
        <w:t xml:space="preserve"> </w:t>
      </w:r>
      <w:r w:rsidRPr="001C6806">
        <w:rPr>
          <w:lang w:val="es-ES"/>
        </w:rPr>
        <w:t>investigación RODA de la Universidad de Santiago de Compostela, y especialmente a las publicaciones del equipo liderado por Jiménez-Aleixandre (2010). Sobre las destrezas comunicativas (lectura crítica, conversación socrática…) un buen referente son los trabajos del grupo de investigación LIEC de la Universitat Autònoma de Barcelona, especialmente los trabajos publicados por los equipos de Izq</w:t>
      </w:r>
      <w:r w:rsidR="00F13026">
        <w:rPr>
          <w:lang w:val="es-ES"/>
        </w:rPr>
        <w:t>uierdo, Sanmartí y Márquez</w:t>
      </w:r>
      <w:r w:rsidRPr="001C6806">
        <w:rPr>
          <w:lang w:val="es-ES"/>
        </w:rPr>
        <w:t xml:space="preserve">. El trabajo sobre la Cognición epistémica es todavía incipiente, y aún está en desarrollo el marco teórico y sobretodo el diseño y evaluación de la cognición epistémica en prácticas de aula. Aprendiendo con perseverancia y determinación, aprendiendo de los errores y consultando los marcos teóricos disponibles, visualizaremos los cambios lentamente al cabo de los años. Exactamente como ocurre con la </w:t>
      </w:r>
      <w:r w:rsidR="007843A3">
        <w:rPr>
          <w:lang w:val="es-ES"/>
        </w:rPr>
        <w:t>Ciencia</w:t>
      </w:r>
      <w:r w:rsidRPr="001C6806">
        <w:rPr>
          <w:lang w:val="es-ES"/>
        </w:rPr>
        <w:t xml:space="preserve">. </w:t>
      </w:r>
    </w:p>
    <w:p w14:paraId="528094B5" w14:textId="77777777" w:rsidR="000156AB" w:rsidRPr="001C6806" w:rsidRDefault="00056C35" w:rsidP="00207F76">
      <w:pPr>
        <w:pStyle w:val="Referencias"/>
        <w:rPr>
          <w:lang w:val="es-ES"/>
        </w:rPr>
      </w:pPr>
      <w:r w:rsidRPr="001C6806">
        <w:rPr>
          <w:lang w:val="es-ES"/>
        </w:rPr>
        <w:t xml:space="preserve">Referencias </w:t>
      </w:r>
    </w:p>
    <w:p w14:paraId="29D5C2B1" w14:textId="2416FA61" w:rsidR="004E0AEC" w:rsidRPr="00F13026" w:rsidRDefault="004E0AEC" w:rsidP="004E0AEC">
      <w:pPr>
        <w:pStyle w:val="TextoNormal"/>
        <w:ind w:left="567" w:hanging="567"/>
        <w:rPr>
          <w:color w:val="000000" w:themeColor="text1"/>
          <w:lang w:val="es-ES"/>
        </w:rPr>
      </w:pPr>
      <w:r w:rsidRPr="00F13026">
        <w:rPr>
          <w:color w:val="000000" w:themeColor="text1"/>
          <w:lang w:val="es-ES"/>
        </w:rPr>
        <w:t xml:space="preserve">Acevedo, J.A. (2008). El estado actual de la naturaleza de la </w:t>
      </w:r>
      <w:r w:rsidR="007843A3">
        <w:rPr>
          <w:color w:val="000000" w:themeColor="text1"/>
          <w:lang w:val="es-ES"/>
        </w:rPr>
        <w:t>ciencia</w:t>
      </w:r>
      <w:r w:rsidRPr="00F13026">
        <w:rPr>
          <w:color w:val="000000" w:themeColor="text1"/>
          <w:lang w:val="es-ES"/>
        </w:rPr>
        <w:t xml:space="preserve"> en la didáctica de las </w:t>
      </w:r>
      <w:r w:rsidR="007843A3">
        <w:rPr>
          <w:color w:val="000000" w:themeColor="text1"/>
          <w:lang w:val="es-ES"/>
        </w:rPr>
        <w:t>ciencia</w:t>
      </w:r>
      <w:r w:rsidRPr="00F13026">
        <w:rPr>
          <w:color w:val="000000" w:themeColor="text1"/>
          <w:lang w:val="es-ES"/>
        </w:rPr>
        <w:t xml:space="preserve">s. </w:t>
      </w:r>
      <w:r w:rsidRPr="000451AA">
        <w:rPr>
          <w:i/>
          <w:color w:val="000000" w:themeColor="text1"/>
          <w:lang w:val="es-ES"/>
        </w:rPr>
        <w:t xml:space="preserve">Revista Eureka sobre Enseñanza y Divulgación de la </w:t>
      </w:r>
      <w:r w:rsidR="007843A3">
        <w:rPr>
          <w:i/>
          <w:color w:val="000000" w:themeColor="text1"/>
          <w:lang w:val="es-ES"/>
        </w:rPr>
        <w:t>Ciencia</w:t>
      </w:r>
      <w:r w:rsidRPr="000451AA">
        <w:rPr>
          <w:i/>
          <w:color w:val="000000" w:themeColor="text1"/>
          <w:lang w:val="es-ES"/>
        </w:rPr>
        <w:t>,</w:t>
      </w:r>
      <w:r w:rsidRPr="00F13026">
        <w:rPr>
          <w:color w:val="000000" w:themeColor="text1"/>
          <w:lang w:val="es-ES"/>
        </w:rPr>
        <w:t xml:space="preserve"> 5(2), 134-169.</w:t>
      </w:r>
      <w:r w:rsidR="000451AA">
        <w:rPr>
          <w:color w:val="000000" w:themeColor="text1"/>
          <w:lang w:val="es-ES"/>
        </w:rPr>
        <w:t xml:space="preserve"> </w:t>
      </w:r>
      <w:hyperlink r:id="rId17" w:history="1">
        <w:r w:rsidR="000451AA" w:rsidRPr="000451AA">
          <w:rPr>
            <w:rStyle w:val="Hipervnculo"/>
            <w:lang w:val="es-ES"/>
          </w:rPr>
          <w:t>DOI: 10.25267/Rev_Eureka_ensen_divulg_cienc.2008.v5.i2.02</w:t>
        </w:r>
      </w:hyperlink>
    </w:p>
    <w:p w14:paraId="089AC490" w14:textId="49AA03D1" w:rsidR="000451AA" w:rsidRDefault="004E0AEC" w:rsidP="004E0AEC">
      <w:pPr>
        <w:pStyle w:val="TextoNormal"/>
        <w:ind w:left="567" w:hanging="567"/>
        <w:rPr>
          <w:color w:val="000000" w:themeColor="text1"/>
          <w:lang w:val="es-ES"/>
        </w:rPr>
      </w:pPr>
      <w:r w:rsidRPr="00F13026">
        <w:rPr>
          <w:color w:val="000000" w:themeColor="text1"/>
          <w:lang w:val="es-ES"/>
        </w:rPr>
        <w:t xml:space="preserve">Acevedo Díaz. J.A., García-Carmona, A. y Aragón, M.M. (2016). Un caso de Historia de la </w:t>
      </w:r>
      <w:r w:rsidR="007843A3">
        <w:rPr>
          <w:color w:val="000000" w:themeColor="text1"/>
          <w:lang w:val="es-ES"/>
        </w:rPr>
        <w:t>Ciencia</w:t>
      </w:r>
      <w:r w:rsidRPr="00F13026">
        <w:rPr>
          <w:color w:val="000000" w:themeColor="text1"/>
          <w:lang w:val="es-ES"/>
        </w:rPr>
        <w:t xml:space="preserve"> para aprender Naturaleza de la </w:t>
      </w:r>
      <w:r w:rsidR="007843A3">
        <w:rPr>
          <w:color w:val="000000" w:themeColor="text1"/>
          <w:lang w:val="es-ES"/>
        </w:rPr>
        <w:t>Ciencia</w:t>
      </w:r>
      <w:r w:rsidRPr="00F13026">
        <w:rPr>
          <w:color w:val="000000" w:themeColor="text1"/>
          <w:lang w:val="es-ES"/>
        </w:rPr>
        <w:t xml:space="preserve">: Semmelweis y la fiebrepuerperal. </w:t>
      </w:r>
      <w:r w:rsidRPr="000451AA">
        <w:rPr>
          <w:i/>
          <w:color w:val="000000" w:themeColor="text1"/>
          <w:lang w:val="es-ES"/>
        </w:rPr>
        <w:t xml:space="preserve">Revista Eureka sobre Enseñanza y Divulgación de las </w:t>
      </w:r>
      <w:r w:rsidR="007843A3">
        <w:rPr>
          <w:i/>
          <w:color w:val="000000" w:themeColor="text1"/>
          <w:lang w:val="es-ES"/>
        </w:rPr>
        <w:t>Ciencia</w:t>
      </w:r>
      <w:r w:rsidRPr="000451AA">
        <w:rPr>
          <w:i/>
          <w:color w:val="000000" w:themeColor="text1"/>
          <w:lang w:val="es-ES"/>
        </w:rPr>
        <w:t>s</w:t>
      </w:r>
      <w:r w:rsidRPr="00F13026">
        <w:rPr>
          <w:color w:val="000000" w:themeColor="text1"/>
          <w:lang w:val="es-ES"/>
        </w:rPr>
        <w:t xml:space="preserve"> 13 (2), 408-422.</w:t>
      </w:r>
      <w:r w:rsidR="000451AA">
        <w:rPr>
          <w:color w:val="000000" w:themeColor="text1"/>
          <w:lang w:val="es-ES"/>
        </w:rPr>
        <w:t xml:space="preserve"> </w:t>
      </w:r>
      <w:hyperlink r:id="rId18" w:history="1">
        <w:r w:rsidR="000451AA" w:rsidRPr="000451AA">
          <w:rPr>
            <w:rStyle w:val="Hipervnculo"/>
            <w:lang w:val="es-ES"/>
          </w:rPr>
          <w:t>DOI: 10.25267/Rev_Eureka_ensen_divulg_cienc.2016.v13.i2.13</w:t>
        </w:r>
      </w:hyperlink>
    </w:p>
    <w:p w14:paraId="34738DFF" w14:textId="77777777" w:rsidR="004E0AEC" w:rsidRPr="00F13026" w:rsidRDefault="004E0AEC" w:rsidP="004E0AEC">
      <w:pPr>
        <w:pStyle w:val="TextoNormal"/>
        <w:ind w:left="567" w:hanging="567"/>
        <w:rPr>
          <w:color w:val="000000" w:themeColor="text1"/>
          <w:lang w:val="es-ES"/>
        </w:rPr>
      </w:pPr>
      <w:r w:rsidRPr="00F13026">
        <w:rPr>
          <w:color w:val="000000" w:themeColor="text1"/>
          <w:lang w:val="es-ES"/>
        </w:rPr>
        <w:t>Adúriz-Bravo, A. (2012). Algunas características clave de los modelos científicos relev</w:t>
      </w:r>
      <w:r w:rsidR="000451AA">
        <w:rPr>
          <w:color w:val="000000" w:themeColor="text1"/>
          <w:lang w:val="es-ES"/>
        </w:rPr>
        <w:t>antes para la educación química.</w:t>
      </w:r>
      <w:r w:rsidRPr="00F13026">
        <w:rPr>
          <w:color w:val="000000" w:themeColor="text1"/>
          <w:lang w:val="es-ES"/>
        </w:rPr>
        <w:t xml:space="preserve"> </w:t>
      </w:r>
      <w:r w:rsidRPr="000451AA">
        <w:rPr>
          <w:i/>
          <w:color w:val="000000" w:themeColor="text1"/>
          <w:lang w:val="es-ES"/>
        </w:rPr>
        <w:t>Educación Química</w:t>
      </w:r>
      <w:r w:rsidRPr="00F13026">
        <w:rPr>
          <w:color w:val="000000" w:themeColor="text1"/>
          <w:lang w:val="es-ES"/>
        </w:rPr>
        <w:t xml:space="preserve">, 23, 248-256. </w:t>
      </w:r>
      <w:hyperlink r:id="rId19" w:history="1">
        <w:r w:rsidR="000451AA">
          <w:rPr>
            <w:rStyle w:val="Hipervnculo"/>
            <w:lang w:val="es-ES"/>
          </w:rPr>
          <w:t xml:space="preserve">DOI: </w:t>
        </w:r>
        <w:r w:rsidR="000451AA" w:rsidRPr="000451AA">
          <w:rPr>
            <w:rStyle w:val="Hipervnculo"/>
            <w:lang w:val="es-ES"/>
          </w:rPr>
          <w:t>10.1016/S0187-893X(17)30151-9</w:t>
        </w:r>
      </w:hyperlink>
    </w:p>
    <w:p w14:paraId="501B46A1" w14:textId="77777777" w:rsidR="004E0AEC" w:rsidRPr="001C6806" w:rsidRDefault="004E0AEC" w:rsidP="004E0AEC">
      <w:pPr>
        <w:pStyle w:val="TextoNormal"/>
        <w:ind w:left="567" w:hanging="567"/>
        <w:rPr>
          <w:color w:val="FF0000"/>
          <w:lang w:val="es-ES"/>
        </w:rPr>
      </w:pPr>
      <w:r w:rsidRPr="00654E29">
        <w:rPr>
          <w:color w:val="000000" w:themeColor="text1"/>
          <w:lang w:val="es-ES"/>
        </w:rPr>
        <w:t xml:space="preserve">Aikenhead, G.S. (1994) The social contract of Science: Implications for Teaching Science. En: Solomon J., Aikenhead G.S.: </w:t>
      </w:r>
      <w:r w:rsidRPr="000451AA">
        <w:rPr>
          <w:i/>
          <w:color w:val="000000" w:themeColor="text1"/>
          <w:lang w:val="es-ES"/>
        </w:rPr>
        <w:t>STS Education: International Perspectives on Reform</w:t>
      </w:r>
      <w:r w:rsidRPr="00654E29">
        <w:rPr>
          <w:color w:val="000000" w:themeColor="text1"/>
          <w:lang w:val="es-ES"/>
        </w:rPr>
        <w:t>. New York: Teachers College Press</w:t>
      </w:r>
      <w:r w:rsidRPr="001C6806">
        <w:rPr>
          <w:color w:val="FF0000"/>
          <w:lang w:val="es-ES"/>
        </w:rPr>
        <w:t>.</w:t>
      </w:r>
    </w:p>
    <w:p w14:paraId="417163E8"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Albe V. (2008) Students’ positions and considerations of scientific evidence about a controversial socioscientific issue. </w:t>
      </w:r>
      <w:r w:rsidRPr="000451AA">
        <w:rPr>
          <w:i/>
          <w:color w:val="000000" w:themeColor="text1"/>
          <w:lang w:val="es-ES"/>
        </w:rPr>
        <w:t>Science &amp; Education</w:t>
      </w:r>
      <w:r w:rsidRPr="00B2071E">
        <w:rPr>
          <w:color w:val="000000" w:themeColor="text1"/>
          <w:lang w:val="es-ES"/>
        </w:rPr>
        <w:t>, 17, 805-827.</w:t>
      </w:r>
      <w:r w:rsidR="000451AA">
        <w:rPr>
          <w:color w:val="000000" w:themeColor="text1"/>
          <w:lang w:val="es-ES"/>
        </w:rPr>
        <w:t xml:space="preserve"> </w:t>
      </w:r>
      <w:hyperlink r:id="rId20" w:history="1">
        <w:r w:rsidR="000451AA" w:rsidRPr="000451AA">
          <w:rPr>
            <w:rStyle w:val="Hipervnculo"/>
            <w:lang w:val="es-ES"/>
          </w:rPr>
          <w:t>DOI: 10.1007/s11191-007-9086-6</w:t>
        </w:r>
      </w:hyperlink>
    </w:p>
    <w:p w14:paraId="361297D2" w14:textId="77777777" w:rsidR="004E0AEC" w:rsidRPr="00F13026" w:rsidRDefault="004E0AEC" w:rsidP="004E0AEC">
      <w:pPr>
        <w:pStyle w:val="TextoNormal"/>
        <w:ind w:left="567" w:hanging="567"/>
        <w:rPr>
          <w:color w:val="000000" w:themeColor="text1"/>
          <w:lang w:val="es-ES"/>
        </w:rPr>
      </w:pPr>
      <w:r w:rsidRPr="00F13026">
        <w:rPr>
          <w:color w:val="000000" w:themeColor="text1"/>
          <w:lang w:val="es-ES"/>
        </w:rPr>
        <w:lastRenderedPageBreak/>
        <w:t xml:space="preserve">Barzilai, S. y Chinn, C. (2017). On the Goals of Epistemic Education: Promoting Apt Epistemic Performance. </w:t>
      </w:r>
      <w:r w:rsidRPr="000451AA">
        <w:rPr>
          <w:i/>
          <w:color w:val="000000" w:themeColor="text1"/>
          <w:lang w:val="es-ES"/>
        </w:rPr>
        <w:t>Journal of the Learning Sciences</w:t>
      </w:r>
      <w:r w:rsidRPr="00F13026">
        <w:rPr>
          <w:color w:val="000000" w:themeColor="text1"/>
          <w:lang w:val="es-ES"/>
        </w:rPr>
        <w:t xml:space="preserve"> 27(3), 353-389.</w:t>
      </w:r>
      <w:r w:rsidR="000451AA">
        <w:rPr>
          <w:color w:val="000000" w:themeColor="text1"/>
          <w:lang w:val="es-ES"/>
        </w:rPr>
        <w:t xml:space="preserve"> </w:t>
      </w:r>
      <w:hyperlink r:id="rId21" w:history="1">
        <w:r w:rsidR="000451AA" w:rsidRPr="000451AA">
          <w:rPr>
            <w:rStyle w:val="Hipervnculo"/>
            <w:lang w:val="es-ES"/>
          </w:rPr>
          <w:t>DOI: 10.1080/10508406.2017.1392968</w:t>
        </w:r>
      </w:hyperlink>
      <w:r w:rsidR="000451AA">
        <w:rPr>
          <w:color w:val="000000" w:themeColor="text1"/>
          <w:lang w:val="es-ES"/>
        </w:rPr>
        <w:t xml:space="preserve"> </w:t>
      </w:r>
    </w:p>
    <w:p w14:paraId="02571348"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Berland, L. K., Schwarz, C., Krist, C., Kenyon, L., Lo, A. S. y Reiser, B. J. (2016). Epistemologies in practice: Making scientific practices meaningful for students. </w:t>
      </w:r>
      <w:r w:rsidRPr="000451AA">
        <w:rPr>
          <w:i/>
          <w:color w:val="000000" w:themeColor="text1"/>
          <w:lang w:val="es-ES"/>
        </w:rPr>
        <w:t>Journal of Research in Science Teaching</w:t>
      </w:r>
      <w:r w:rsidRPr="00B2071E">
        <w:rPr>
          <w:color w:val="000000" w:themeColor="text1"/>
          <w:lang w:val="es-ES"/>
        </w:rPr>
        <w:t>, 53(7), 1082-1112.</w:t>
      </w:r>
      <w:r w:rsidR="000451AA">
        <w:rPr>
          <w:color w:val="000000" w:themeColor="text1"/>
          <w:lang w:val="es-ES"/>
        </w:rPr>
        <w:t xml:space="preserve"> </w:t>
      </w:r>
      <w:hyperlink r:id="rId22" w:history="1">
        <w:r w:rsidR="000451AA" w:rsidRPr="000451AA">
          <w:rPr>
            <w:rStyle w:val="Hipervnculo"/>
            <w:lang w:val="es-ES"/>
          </w:rPr>
          <w:t>DOI: 10.1002/tea.21257</w:t>
        </w:r>
      </w:hyperlink>
    </w:p>
    <w:p w14:paraId="618B6947"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Bravo, B., Puig, B. y Jiménez-Aleixandre, P. (2009). Competencias en el uso de pruebas en argumentación. </w:t>
      </w:r>
      <w:r w:rsidRPr="000451AA">
        <w:rPr>
          <w:i/>
          <w:color w:val="000000" w:themeColor="text1"/>
          <w:lang w:val="es-ES"/>
        </w:rPr>
        <w:t>Educación Química</w:t>
      </w:r>
      <w:r w:rsidRPr="00B2071E">
        <w:rPr>
          <w:color w:val="000000" w:themeColor="text1"/>
          <w:lang w:val="es-ES"/>
        </w:rPr>
        <w:t>, 20(2), 137-142.</w:t>
      </w:r>
      <w:r w:rsidR="000451AA">
        <w:rPr>
          <w:color w:val="000000" w:themeColor="text1"/>
          <w:lang w:val="es-ES"/>
        </w:rPr>
        <w:t xml:space="preserve"> </w:t>
      </w:r>
      <w:hyperlink r:id="rId23" w:history="1">
        <w:r w:rsidR="000451AA" w:rsidRPr="000451AA">
          <w:rPr>
            <w:rStyle w:val="Hipervnculo"/>
            <w:lang w:val="es-ES"/>
          </w:rPr>
          <w:t>DOI: 10.1016/S0187-893X(18)30020-X</w:t>
        </w:r>
      </w:hyperlink>
    </w:p>
    <w:p w14:paraId="3C52A482" w14:textId="77777777" w:rsidR="004E0AEC" w:rsidRPr="00654E29" w:rsidRDefault="004E0AEC" w:rsidP="004E0AEC">
      <w:pPr>
        <w:pStyle w:val="TextoNormal"/>
        <w:ind w:left="567" w:hanging="567"/>
        <w:rPr>
          <w:color w:val="000000" w:themeColor="text1"/>
          <w:lang w:val="es-ES"/>
        </w:rPr>
      </w:pPr>
      <w:r w:rsidRPr="00654E29">
        <w:rPr>
          <w:color w:val="000000" w:themeColor="text1"/>
          <w:lang w:val="es-ES"/>
        </w:rPr>
        <w:t>Bybee, R. W. (2006). Scientific Inquiry and Science Teaching. En</w:t>
      </w:r>
      <w:r w:rsidR="000451AA">
        <w:rPr>
          <w:color w:val="000000" w:themeColor="text1"/>
          <w:lang w:val="es-ES"/>
        </w:rPr>
        <w:t>:</w:t>
      </w:r>
      <w:r w:rsidRPr="00654E29">
        <w:rPr>
          <w:color w:val="000000" w:themeColor="text1"/>
          <w:lang w:val="es-ES"/>
        </w:rPr>
        <w:t xml:space="preserve"> L. B. Flick y N. G. Lederman (eds.). </w:t>
      </w:r>
      <w:r w:rsidRPr="000451AA">
        <w:rPr>
          <w:i/>
          <w:color w:val="000000" w:themeColor="text1"/>
          <w:lang w:val="es-ES"/>
        </w:rPr>
        <w:t>Scientific Inquiry and Nature of Science. Implications for Teaching, Learning and Teacher Education</w:t>
      </w:r>
      <w:r w:rsidRPr="00654E29">
        <w:rPr>
          <w:color w:val="000000" w:themeColor="text1"/>
          <w:lang w:val="es-ES"/>
        </w:rPr>
        <w:t>. Dordrecht, The Netherlands: Springer, pp. 1-12.</w:t>
      </w:r>
    </w:p>
    <w:p w14:paraId="497DE64B" w14:textId="77777777" w:rsidR="004E0AEC" w:rsidRPr="00F13026" w:rsidRDefault="004E0AEC" w:rsidP="004E0AEC">
      <w:pPr>
        <w:pStyle w:val="TextoNormal"/>
        <w:ind w:left="567" w:hanging="567"/>
        <w:rPr>
          <w:color w:val="000000" w:themeColor="text1"/>
          <w:lang w:val="es-ES"/>
        </w:rPr>
      </w:pPr>
      <w:r w:rsidRPr="00F13026">
        <w:rPr>
          <w:color w:val="000000" w:themeColor="text1"/>
          <w:lang w:val="es-ES"/>
        </w:rPr>
        <w:t xml:space="preserve">Cañal, P. (2012). ¿Cómo evaluar la competencia científica? </w:t>
      </w:r>
      <w:r w:rsidRPr="00CF72C6">
        <w:rPr>
          <w:i/>
          <w:color w:val="000000" w:themeColor="text1"/>
          <w:lang w:val="es-ES"/>
        </w:rPr>
        <w:t>Investigación en la Escuela</w:t>
      </w:r>
      <w:r w:rsidRPr="00F13026">
        <w:rPr>
          <w:color w:val="000000" w:themeColor="text1"/>
          <w:lang w:val="es-ES"/>
        </w:rPr>
        <w:t>, 78, 5-17.</w:t>
      </w:r>
      <w:r w:rsidR="00CF72C6">
        <w:rPr>
          <w:color w:val="000000" w:themeColor="text1"/>
          <w:lang w:val="es-ES"/>
        </w:rPr>
        <w:t xml:space="preserve"> </w:t>
      </w:r>
      <w:hyperlink r:id="rId24" w:history="1">
        <w:r w:rsidR="00CF72C6" w:rsidRPr="00E02EB8">
          <w:rPr>
            <w:rStyle w:val="Hipervnculo"/>
            <w:lang w:val="es-ES"/>
          </w:rPr>
          <w:t>http://hdl.handle.net/11441/59927</w:t>
        </w:r>
      </w:hyperlink>
      <w:r w:rsidR="00CF72C6">
        <w:rPr>
          <w:color w:val="000000" w:themeColor="text1"/>
          <w:lang w:val="es-ES"/>
        </w:rPr>
        <w:t xml:space="preserve"> </w:t>
      </w:r>
    </w:p>
    <w:p w14:paraId="7DF8A7A1" w14:textId="1E6E0058"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Couso, D. (2014). De la moda de “aprender indagando” a la indagación para modelizar: una reflexión crítica. </w:t>
      </w:r>
      <w:r w:rsidRPr="00CF72C6">
        <w:rPr>
          <w:i/>
          <w:color w:val="000000" w:themeColor="text1"/>
          <w:lang w:val="es-ES"/>
        </w:rPr>
        <w:t xml:space="preserve">XXVI Encuentro de Didáctica de las </w:t>
      </w:r>
      <w:r w:rsidR="007843A3">
        <w:rPr>
          <w:i/>
          <w:color w:val="000000" w:themeColor="text1"/>
          <w:lang w:val="es-ES"/>
        </w:rPr>
        <w:t>Ciencia</w:t>
      </w:r>
      <w:r w:rsidRPr="00CF72C6">
        <w:rPr>
          <w:i/>
          <w:color w:val="000000" w:themeColor="text1"/>
          <w:lang w:val="es-ES"/>
        </w:rPr>
        <w:t>s Experimentales</w:t>
      </w:r>
      <w:r w:rsidRPr="00B2071E">
        <w:rPr>
          <w:color w:val="000000" w:themeColor="text1"/>
          <w:lang w:val="es-ES"/>
        </w:rPr>
        <w:t>. Huelva (Andalucía).</w:t>
      </w:r>
    </w:p>
    <w:p w14:paraId="4743CA44" w14:textId="77777777" w:rsidR="004E0AEC" w:rsidRPr="00F13026" w:rsidRDefault="004E0AEC" w:rsidP="004E0AEC">
      <w:pPr>
        <w:pStyle w:val="TextoNormal"/>
        <w:ind w:left="567" w:hanging="567"/>
        <w:rPr>
          <w:color w:val="000000" w:themeColor="text1"/>
          <w:lang w:val="es-ES"/>
        </w:rPr>
      </w:pPr>
      <w:r w:rsidRPr="00F13026">
        <w:rPr>
          <w:color w:val="000000" w:themeColor="text1"/>
          <w:lang w:val="es-ES"/>
        </w:rPr>
        <w:t xml:space="preserve">Couso, D., Herreras, Ll. y Olivella, J. (2016). </w:t>
      </w:r>
      <w:r w:rsidRPr="00CF72C6">
        <w:rPr>
          <w:i/>
          <w:color w:val="000000" w:themeColor="text1"/>
          <w:lang w:val="es-ES"/>
        </w:rPr>
        <w:t>Estructura de la matèria. De Rutherford a l’ALBA</w:t>
      </w:r>
      <w:r w:rsidRPr="00F13026">
        <w:rPr>
          <w:color w:val="000000" w:themeColor="text1"/>
          <w:lang w:val="es-ES"/>
        </w:rPr>
        <w:t xml:space="preserve">. </w:t>
      </w:r>
      <w:r w:rsidRPr="00CF72C6">
        <w:rPr>
          <w:i/>
          <w:color w:val="000000" w:themeColor="text1"/>
          <w:lang w:val="es-ES"/>
        </w:rPr>
        <w:t>Seqüència didàctica per a l’estudi de l’estructura atòmica</w:t>
      </w:r>
      <w:r w:rsidRPr="00F13026">
        <w:rPr>
          <w:color w:val="000000" w:themeColor="text1"/>
          <w:lang w:val="es-ES"/>
        </w:rPr>
        <w:t>. Barcelona: Publicacions CRECIM.</w:t>
      </w:r>
    </w:p>
    <w:p w14:paraId="0EB3796F" w14:textId="6AC56BCD" w:rsidR="004E0AEC" w:rsidRPr="00B2071E" w:rsidRDefault="004E0AEC" w:rsidP="004E0AEC">
      <w:pPr>
        <w:pStyle w:val="TextoNormal"/>
        <w:ind w:left="567" w:hanging="567"/>
        <w:rPr>
          <w:color w:val="000000" w:themeColor="text1"/>
          <w:lang w:val="es-ES"/>
        </w:rPr>
      </w:pPr>
      <w:r w:rsidRPr="00B2071E">
        <w:rPr>
          <w:color w:val="000000" w:themeColor="text1"/>
          <w:lang w:val="es-ES"/>
        </w:rPr>
        <w:t>Chinn, C., Buckland, L.A. y</w:t>
      </w:r>
      <w:r w:rsidR="00043370">
        <w:rPr>
          <w:color w:val="000000" w:themeColor="text1"/>
          <w:lang w:val="es-ES"/>
        </w:rPr>
        <w:t xml:space="preserve"> </w:t>
      </w:r>
      <w:r w:rsidRPr="00B2071E">
        <w:rPr>
          <w:color w:val="000000" w:themeColor="text1"/>
          <w:lang w:val="es-ES"/>
        </w:rPr>
        <w:t>Samarapungavan, A. (2011). Expanding the Dimensions of Epistemic Cognition: Arguments From Philosophy and Psychology.</w:t>
      </w:r>
      <w:r w:rsidR="00043370">
        <w:rPr>
          <w:color w:val="000000" w:themeColor="text1"/>
          <w:lang w:val="es-ES"/>
        </w:rPr>
        <w:t xml:space="preserve"> </w:t>
      </w:r>
      <w:r w:rsidRPr="00CF72C6">
        <w:rPr>
          <w:i/>
          <w:color w:val="000000" w:themeColor="text1"/>
          <w:lang w:val="es-ES"/>
        </w:rPr>
        <w:t>Educational Psychologist</w:t>
      </w:r>
      <w:r w:rsidRPr="00B2071E">
        <w:rPr>
          <w:color w:val="000000" w:themeColor="text1"/>
          <w:lang w:val="es-ES"/>
        </w:rPr>
        <w:t xml:space="preserve"> 46(3), 141-167.</w:t>
      </w:r>
      <w:r w:rsidR="00CF72C6">
        <w:rPr>
          <w:color w:val="000000" w:themeColor="text1"/>
          <w:lang w:val="es-ES"/>
        </w:rPr>
        <w:t xml:space="preserve"> </w:t>
      </w:r>
      <w:hyperlink r:id="rId25" w:history="1">
        <w:r w:rsidR="00CF72C6" w:rsidRPr="00CF72C6">
          <w:rPr>
            <w:rStyle w:val="Hipervnculo"/>
            <w:lang w:val="es-ES"/>
          </w:rPr>
          <w:t>DOI: 10.1080/00461520.2011.587722</w:t>
        </w:r>
      </w:hyperlink>
    </w:p>
    <w:p w14:paraId="16464BED" w14:textId="6A4CA7C4" w:rsidR="004E0AEC" w:rsidRPr="00B2071E" w:rsidRDefault="00B2071E" w:rsidP="004E0AEC">
      <w:pPr>
        <w:pStyle w:val="TextoNormal"/>
        <w:ind w:left="567" w:hanging="567"/>
        <w:rPr>
          <w:color w:val="000000" w:themeColor="text1"/>
          <w:lang w:val="es-ES"/>
        </w:rPr>
      </w:pPr>
      <w:r>
        <w:rPr>
          <w:color w:val="000000" w:themeColor="text1"/>
          <w:lang w:val="es-ES"/>
        </w:rPr>
        <w:t>Díaz N. y</w:t>
      </w:r>
      <w:r w:rsidR="004E0AEC" w:rsidRPr="00B2071E">
        <w:rPr>
          <w:color w:val="000000" w:themeColor="text1"/>
          <w:lang w:val="es-ES"/>
        </w:rPr>
        <w:t xml:space="preserve"> Jiménez-Liso M. R. (2012) Las controversias sociocientíficas: temáticas e importancia para la educación científica. </w:t>
      </w:r>
      <w:r w:rsidR="004E0AEC" w:rsidRPr="00CF72C6">
        <w:rPr>
          <w:i/>
          <w:color w:val="000000" w:themeColor="text1"/>
          <w:lang w:val="es-ES"/>
        </w:rPr>
        <w:t xml:space="preserve">Revista Eureka sobre Enseñanza y Divulgación de las </w:t>
      </w:r>
      <w:r w:rsidR="007843A3">
        <w:rPr>
          <w:i/>
          <w:color w:val="000000" w:themeColor="text1"/>
          <w:lang w:val="es-ES"/>
        </w:rPr>
        <w:t>Ciencia</w:t>
      </w:r>
      <w:r w:rsidR="004E0AEC" w:rsidRPr="00CF72C6">
        <w:rPr>
          <w:i/>
          <w:color w:val="000000" w:themeColor="text1"/>
          <w:lang w:val="es-ES"/>
        </w:rPr>
        <w:t>s</w:t>
      </w:r>
      <w:r w:rsidR="004E0AEC" w:rsidRPr="00B2071E">
        <w:rPr>
          <w:color w:val="000000" w:themeColor="text1"/>
          <w:lang w:val="es-ES"/>
        </w:rPr>
        <w:t xml:space="preserve"> 9(1), 54-70.</w:t>
      </w:r>
      <w:r w:rsidR="00CF72C6">
        <w:rPr>
          <w:color w:val="000000" w:themeColor="text1"/>
          <w:lang w:val="es-ES"/>
        </w:rPr>
        <w:t xml:space="preserve"> </w:t>
      </w:r>
      <w:hyperlink r:id="rId26" w:history="1">
        <w:r w:rsidR="00CF72C6" w:rsidRPr="00CF72C6">
          <w:rPr>
            <w:rStyle w:val="Hipervnculo"/>
            <w:lang w:val="es-ES"/>
          </w:rPr>
          <w:t>DOI: 10.25267/Rev_Eureka_ensen_divulg_cienc.2012.v9.i1.04</w:t>
        </w:r>
      </w:hyperlink>
    </w:p>
    <w:p w14:paraId="21DB8A35" w14:textId="77777777" w:rsidR="004E0AEC" w:rsidRPr="00F13026" w:rsidRDefault="004E0AEC" w:rsidP="004E0AEC">
      <w:pPr>
        <w:pStyle w:val="TextoNormal"/>
        <w:ind w:left="567" w:hanging="567"/>
        <w:rPr>
          <w:color w:val="000000" w:themeColor="text1"/>
          <w:lang w:val="es-ES"/>
        </w:rPr>
      </w:pPr>
      <w:r w:rsidRPr="00F13026">
        <w:rPr>
          <w:color w:val="000000" w:themeColor="text1"/>
          <w:lang w:val="es-ES"/>
        </w:rPr>
        <w:t xml:space="preserve">Domènech-Casal, J. (2016). Diseño y caracterización de un Proyecto de Indagación alrededor de la Evolución Humana y la Paleontología. </w:t>
      </w:r>
      <w:r w:rsidRPr="00CF72C6">
        <w:rPr>
          <w:i/>
          <w:color w:val="000000" w:themeColor="text1"/>
          <w:lang w:val="es-ES"/>
        </w:rPr>
        <w:t>Investigación en la escuela</w:t>
      </w:r>
      <w:r w:rsidRPr="00F13026">
        <w:rPr>
          <w:color w:val="000000" w:themeColor="text1"/>
          <w:lang w:val="es-ES"/>
        </w:rPr>
        <w:t xml:space="preserve"> (2016) 90, 49-71.</w:t>
      </w:r>
      <w:r w:rsidR="00CF72C6">
        <w:rPr>
          <w:color w:val="000000" w:themeColor="text1"/>
          <w:lang w:val="es-ES"/>
        </w:rPr>
        <w:t xml:space="preserve"> </w:t>
      </w:r>
      <w:hyperlink r:id="rId27" w:history="1">
        <w:r w:rsidR="00CF72C6">
          <w:rPr>
            <w:rStyle w:val="Hipervnculo"/>
            <w:lang w:val="es-ES"/>
          </w:rPr>
          <w:t xml:space="preserve">DOI: </w:t>
        </w:r>
        <w:r w:rsidR="00CF72C6" w:rsidRPr="00CF72C6">
          <w:rPr>
            <w:rStyle w:val="Hipervnculo"/>
            <w:lang w:val="es-ES"/>
          </w:rPr>
          <w:t>10.12795/IE.2017.i90.04</w:t>
        </w:r>
      </w:hyperlink>
      <w:r w:rsidR="00CF72C6">
        <w:rPr>
          <w:color w:val="000000" w:themeColor="text1"/>
          <w:lang w:val="es-ES"/>
        </w:rPr>
        <w:t xml:space="preserve"> </w:t>
      </w:r>
    </w:p>
    <w:p w14:paraId="7E51D530" w14:textId="695751FD" w:rsidR="004E0AEC" w:rsidRPr="00B2071E" w:rsidRDefault="00B2071E" w:rsidP="004E0AEC">
      <w:pPr>
        <w:pStyle w:val="TextoNormal"/>
        <w:ind w:left="567" w:hanging="567"/>
        <w:rPr>
          <w:color w:val="000000" w:themeColor="text1"/>
          <w:lang w:val="es-ES"/>
        </w:rPr>
      </w:pPr>
      <w:r w:rsidRPr="00B2071E">
        <w:rPr>
          <w:color w:val="000000" w:themeColor="text1"/>
          <w:lang w:val="es-ES"/>
        </w:rPr>
        <w:t>Domènech-Casal, J. (2019</w:t>
      </w:r>
      <w:r w:rsidR="004E0AEC" w:rsidRPr="00B2071E">
        <w:rPr>
          <w:color w:val="000000" w:themeColor="text1"/>
          <w:lang w:val="es-ES"/>
        </w:rPr>
        <w:t xml:space="preserve">). </w:t>
      </w:r>
      <w:r w:rsidR="004E0AEC" w:rsidRPr="00CF72C6">
        <w:rPr>
          <w:i/>
          <w:color w:val="000000" w:themeColor="text1"/>
          <w:lang w:val="es-ES"/>
        </w:rPr>
        <w:t xml:space="preserve">Aprendizaje Basado en Proyectos, trabajos prácticos y controversias. 28 propuestas y reflexiones para enseñar </w:t>
      </w:r>
      <w:r w:rsidR="007843A3">
        <w:rPr>
          <w:i/>
          <w:color w:val="000000" w:themeColor="text1"/>
          <w:lang w:val="es-ES"/>
        </w:rPr>
        <w:t>ciencia</w:t>
      </w:r>
      <w:r w:rsidR="004E0AEC" w:rsidRPr="00CF72C6">
        <w:rPr>
          <w:i/>
          <w:color w:val="000000" w:themeColor="text1"/>
          <w:lang w:val="es-ES"/>
        </w:rPr>
        <w:t>s</w:t>
      </w:r>
      <w:r w:rsidR="004E0AEC" w:rsidRPr="00B2071E">
        <w:rPr>
          <w:color w:val="000000" w:themeColor="text1"/>
          <w:lang w:val="es-ES"/>
        </w:rPr>
        <w:t xml:space="preserve">. Octaedro: Barcelona. </w:t>
      </w:r>
    </w:p>
    <w:p w14:paraId="246C8CA6" w14:textId="215B0240" w:rsidR="004E0AEC" w:rsidRPr="00F13026" w:rsidRDefault="004E0AEC" w:rsidP="004E0AEC">
      <w:pPr>
        <w:pStyle w:val="TextoNormal"/>
        <w:ind w:left="567" w:hanging="567"/>
        <w:rPr>
          <w:color w:val="000000" w:themeColor="text1"/>
          <w:lang w:val="es-ES"/>
        </w:rPr>
      </w:pPr>
      <w:r w:rsidRPr="00F13026">
        <w:rPr>
          <w:color w:val="000000" w:themeColor="text1"/>
          <w:lang w:val="es-ES"/>
        </w:rPr>
        <w:t>Domènech-Casal, J. (2019</w:t>
      </w:r>
      <w:r w:rsidR="00F13026" w:rsidRPr="00F13026">
        <w:rPr>
          <w:color w:val="000000" w:themeColor="text1"/>
          <w:lang w:val="es-ES"/>
        </w:rPr>
        <w:t>b</w:t>
      </w:r>
      <w:r w:rsidRPr="00F13026">
        <w:rPr>
          <w:color w:val="000000" w:themeColor="text1"/>
          <w:lang w:val="es-ES"/>
        </w:rPr>
        <w:t>). Escalas de certidumbre y balanzas de argumentos. Una experiencia de construcción de marcos epistemológicos para el trabajo con Pseudo</w:t>
      </w:r>
      <w:r w:rsidR="007843A3">
        <w:rPr>
          <w:color w:val="000000" w:themeColor="text1"/>
          <w:lang w:val="es-ES"/>
        </w:rPr>
        <w:t>ciencia</w:t>
      </w:r>
      <w:r w:rsidRPr="00F13026">
        <w:rPr>
          <w:color w:val="000000" w:themeColor="text1"/>
          <w:lang w:val="es-ES"/>
        </w:rPr>
        <w:t xml:space="preserve">s en secundaria. </w:t>
      </w:r>
      <w:r w:rsidRPr="00180415">
        <w:rPr>
          <w:i/>
          <w:color w:val="000000" w:themeColor="text1"/>
          <w:lang w:val="es-ES"/>
        </w:rPr>
        <w:t>Ápice Revista de Educación Científica</w:t>
      </w:r>
      <w:r w:rsidRPr="00F13026">
        <w:rPr>
          <w:color w:val="000000" w:themeColor="text1"/>
          <w:lang w:val="es-ES"/>
        </w:rPr>
        <w:t xml:space="preserve"> 3(2):37-53</w:t>
      </w:r>
      <w:r w:rsidR="00180415">
        <w:rPr>
          <w:color w:val="000000" w:themeColor="text1"/>
          <w:lang w:val="es-ES"/>
        </w:rPr>
        <w:t xml:space="preserve">. </w:t>
      </w:r>
      <w:hyperlink r:id="rId28" w:history="1">
        <w:r w:rsidR="00180415">
          <w:rPr>
            <w:rStyle w:val="Hipervnculo"/>
            <w:lang w:val="es-ES"/>
          </w:rPr>
          <w:t xml:space="preserve">DOI: </w:t>
        </w:r>
        <w:r w:rsidR="00180415" w:rsidRPr="00180415">
          <w:rPr>
            <w:rStyle w:val="Hipervnculo"/>
            <w:lang w:val="es-ES"/>
          </w:rPr>
          <w:t>10.17979/arec.2019.3.2.4930</w:t>
        </w:r>
      </w:hyperlink>
    </w:p>
    <w:p w14:paraId="735C79AB"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Duschl, R. (2008). Science Education in Three-Part Harmony: Balancing Conceptual, Epistemic, and Social Learning Goals. </w:t>
      </w:r>
      <w:r w:rsidRPr="00180415">
        <w:rPr>
          <w:i/>
          <w:color w:val="000000" w:themeColor="text1"/>
          <w:lang w:val="es-ES"/>
        </w:rPr>
        <w:t>Review of Research in Education</w:t>
      </w:r>
      <w:r w:rsidRPr="00B2071E">
        <w:rPr>
          <w:color w:val="000000" w:themeColor="text1"/>
          <w:lang w:val="es-ES"/>
        </w:rPr>
        <w:t>, 32(1):268-91.</w:t>
      </w:r>
      <w:r w:rsidR="00180415">
        <w:rPr>
          <w:color w:val="000000" w:themeColor="text1"/>
          <w:lang w:val="es-ES"/>
        </w:rPr>
        <w:t xml:space="preserve"> </w:t>
      </w:r>
      <w:hyperlink r:id="rId29" w:history="1">
        <w:r w:rsidR="00180415">
          <w:rPr>
            <w:rStyle w:val="Hipervnculo"/>
            <w:lang w:val="es-ES"/>
          </w:rPr>
          <w:t xml:space="preserve">DOI: </w:t>
        </w:r>
        <w:r w:rsidR="00180415" w:rsidRPr="00180415">
          <w:rPr>
            <w:rStyle w:val="Hipervnculo"/>
            <w:lang w:val="es-ES"/>
          </w:rPr>
          <w:t>10.3102/0091732X07309371</w:t>
        </w:r>
      </w:hyperlink>
    </w:p>
    <w:p w14:paraId="3DB48C42"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Duschl, R. y Grandy, R. (2012). Two views about explicitly teaching nature of Science. </w:t>
      </w:r>
      <w:r w:rsidRPr="00180415">
        <w:rPr>
          <w:i/>
          <w:color w:val="000000" w:themeColor="text1"/>
          <w:lang w:val="es-ES"/>
        </w:rPr>
        <w:t>Science and Education</w:t>
      </w:r>
      <w:r w:rsidRPr="00B2071E">
        <w:rPr>
          <w:color w:val="000000" w:themeColor="text1"/>
          <w:lang w:val="es-ES"/>
        </w:rPr>
        <w:t>, 22(9), 2109–2139.</w:t>
      </w:r>
      <w:r w:rsidR="00180415">
        <w:rPr>
          <w:color w:val="000000" w:themeColor="text1"/>
          <w:lang w:val="es-ES"/>
        </w:rPr>
        <w:t xml:space="preserve"> </w:t>
      </w:r>
      <w:hyperlink r:id="rId30" w:history="1">
        <w:r w:rsidR="00180415">
          <w:rPr>
            <w:rStyle w:val="Hipervnculo"/>
            <w:lang w:val="es-ES"/>
          </w:rPr>
          <w:t xml:space="preserve">DOI: </w:t>
        </w:r>
        <w:r w:rsidR="00180415" w:rsidRPr="00180415">
          <w:rPr>
            <w:rStyle w:val="Hipervnculo"/>
            <w:lang w:val="es-ES"/>
          </w:rPr>
          <w:t>10.1007/s11191-012-9539-4</w:t>
        </w:r>
      </w:hyperlink>
    </w:p>
    <w:p w14:paraId="5275929F"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Erduran, S. y Jiménez-Aleixandre, M. P. (2008). </w:t>
      </w:r>
      <w:r w:rsidRPr="00180415">
        <w:rPr>
          <w:i/>
          <w:color w:val="000000" w:themeColor="text1"/>
          <w:lang w:val="es-ES"/>
        </w:rPr>
        <w:t>Argumentation in Science Education. Perspectives from Classroom-Based Research.</w:t>
      </w:r>
      <w:r w:rsidRPr="00B2071E">
        <w:rPr>
          <w:color w:val="000000" w:themeColor="text1"/>
          <w:lang w:val="es-ES"/>
        </w:rPr>
        <w:t xml:space="preserve"> Dordrecht: Springer.</w:t>
      </w:r>
    </w:p>
    <w:p w14:paraId="0386C504" w14:textId="77777777" w:rsidR="004E0AEC" w:rsidRPr="001C6806" w:rsidRDefault="004E0AEC" w:rsidP="004E0AEC">
      <w:pPr>
        <w:pStyle w:val="TextoNormal"/>
        <w:ind w:left="567" w:hanging="567"/>
        <w:rPr>
          <w:color w:val="FF0000"/>
          <w:lang w:val="es-ES"/>
        </w:rPr>
      </w:pPr>
      <w:r w:rsidRPr="00B2071E">
        <w:rPr>
          <w:color w:val="000000" w:themeColor="text1"/>
          <w:lang w:val="es-ES"/>
        </w:rPr>
        <w:t xml:space="preserve">Flick, L. y Lederman, N. G. (eds.) (2004). </w:t>
      </w:r>
      <w:r w:rsidRPr="00180415">
        <w:rPr>
          <w:i/>
          <w:color w:val="000000" w:themeColor="text1"/>
          <w:lang w:val="es-ES"/>
        </w:rPr>
        <w:t>Scientific inquiry and nature of science: implications for teaching, learning, and teacher education</w:t>
      </w:r>
      <w:r w:rsidRPr="00B2071E">
        <w:rPr>
          <w:color w:val="000000" w:themeColor="text1"/>
          <w:lang w:val="es-ES"/>
        </w:rPr>
        <w:t>. Dordrecht, The Netherlands: Kluwer Academic Publishers</w:t>
      </w:r>
      <w:r w:rsidRPr="001C6806">
        <w:rPr>
          <w:color w:val="FF0000"/>
          <w:lang w:val="es-ES"/>
        </w:rPr>
        <w:t>.</w:t>
      </w:r>
    </w:p>
    <w:p w14:paraId="6440E977"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Ferr</w:t>
      </w:r>
      <w:r w:rsidR="00180415">
        <w:rPr>
          <w:color w:val="000000" w:themeColor="text1"/>
          <w:lang w:val="es-ES"/>
        </w:rPr>
        <w:t>é</w:t>
      </w:r>
      <w:r w:rsidRPr="00B2071E">
        <w:rPr>
          <w:color w:val="000000" w:themeColor="text1"/>
          <w:lang w:val="es-ES"/>
        </w:rPr>
        <w:t>s</w:t>
      </w:r>
      <w:r w:rsidR="00180415">
        <w:rPr>
          <w:color w:val="000000" w:themeColor="text1"/>
          <w:lang w:val="es-ES"/>
        </w:rPr>
        <w:t>-</w:t>
      </w:r>
      <w:r w:rsidRPr="00B2071E">
        <w:rPr>
          <w:color w:val="000000" w:themeColor="text1"/>
          <w:lang w:val="es-ES"/>
        </w:rPr>
        <w:t xml:space="preserve">Gurt, C. (2017). </w:t>
      </w:r>
      <w:r w:rsidRPr="00180415">
        <w:rPr>
          <w:i/>
          <w:color w:val="000000" w:themeColor="text1"/>
          <w:lang w:val="es-ES"/>
        </w:rPr>
        <w:t>La competència d’indagació i la seva avaluació en els estudiants de Batxillerat.</w:t>
      </w:r>
      <w:r w:rsidRPr="00B2071E">
        <w:rPr>
          <w:color w:val="000000" w:themeColor="text1"/>
          <w:lang w:val="es-ES"/>
        </w:rPr>
        <w:t xml:space="preserve"> Tesi Doctoral. Disponible a: https://www.tdx.cat/handle/10803/458679.</w:t>
      </w:r>
    </w:p>
    <w:p w14:paraId="29497138" w14:textId="2425B776" w:rsidR="004E0AEC" w:rsidRPr="00F13026" w:rsidRDefault="004E0AEC" w:rsidP="004E0AEC">
      <w:pPr>
        <w:pStyle w:val="TextoNormal"/>
        <w:ind w:left="567" w:hanging="567"/>
        <w:rPr>
          <w:color w:val="000000" w:themeColor="text1"/>
          <w:lang w:val="es-ES"/>
        </w:rPr>
      </w:pPr>
      <w:r w:rsidRPr="00F13026">
        <w:rPr>
          <w:color w:val="000000" w:themeColor="text1"/>
          <w:lang w:val="es-ES"/>
        </w:rPr>
        <w:t xml:space="preserve">Franco-Mariscal, A.J., Blanco-López, A. y España-Ramos, E. (2017). Diseño de actividades para el desarrollo de competencias científicas. Utilización del marco de PISA en un contexto relacionado con la salud. </w:t>
      </w:r>
      <w:r w:rsidRPr="00180415">
        <w:rPr>
          <w:i/>
          <w:color w:val="000000" w:themeColor="text1"/>
          <w:lang w:val="es-ES"/>
        </w:rPr>
        <w:t xml:space="preserve">Revista Eureka sobre Enseñanza y Divulgación de las </w:t>
      </w:r>
      <w:r w:rsidR="007843A3">
        <w:rPr>
          <w:i/>
          <w:color w:val="000000" w:themeColor="text1"/>
          <w:lang w:val="es-ES"/>
        </w:rPr>
        <w:t>Ciencia</w:t>
      </w:r>
      <w:r w:rsidRPr="00180415">
        <w:rPr>
          <w:i/>
          <w:color w:val="000000" w:themeColor="text1"/>
          <w:lang w:val="es-ES"/>
        </w:rPr>
        <w:t>s</w:t>
      </w:r>
      <w:r w:rsidRPr="00F13026">
        <w:rPr>
          <w:color w:val="000000" w:themeColor="text1"/>
          <w:lang w:val="es-ES"/>
        </w:rPr>
        <w:t xml:space="preserve"> 14 (1), 38-53.</w:t>
      </w:r>
      <w:r w:rsidR="00180415">
        <w:rPr>
          <w:color w:val="000000" w:themeColor="text1"/>
          <w:lang w:val="es-ES"/>
        </w:rPr>
        <w:t xml:space="preserve"> </w:t>
      </w:r>
      <w:hyperlink r:id="rId31" w:history="1">
        <w:r w:rsidR="00180415" w:rsidRPr="00180415">
          <w:rPr>
            <w:rStyle w:val="Hipervnculo"/>
            <w:lang w:val="es-ES"/>
          </w:rPr>
          <w:t>DOI: 10.25267/Rev_Eureka_ensen_divulg_cienc.2017.v14.i1.04</w:t>
        </w:r>
      </w:hyperlink>
    </w:p>
    <w:p w14:paraId="018935E8" w14:textId="2F377215" w:rsidR="004E0AEC" w:rsidRPr="00B2071E" w:rsidRDefault="004E0AEC" w:rsidP="004E0AEC">
      <w:pPr>
        <w:pStyle w:val="TextoNormal"/>
        <w:ind w:left="567" w:hanging="567"/>
        <w:rPr>
          <w:color w:val="000000" w:themeColor="text1"/>
          <w:lang w:val="es-ES"/>
        </w:rPr>
      </w:pPr>
      <w:r w:rsidRPr="00B2071E">
        <w:rPr>
          <w:color w:val="000000" w:themeColor="text1"/>
          <w:lang w:val="es-ES"/>
        </w:rPr>
        <w:lastRenderedPageBreak/>
        <w:t xml:space="preserve">García-Carmona, A. (2012) Cómo enseñar Naturaleza de la </w:t>
      </w:r>
      <w:r w:rsidR="007843A3">
        <w:rPr>
          <w:color w:val="000000" w:themeColor="text1"/>
          <w:lang w:val="es-ES"/>
        </w:rPr>
        <w:t>Ciencia</w:t>
      </w:r>
      <w:r w:rsidRPr="00B2071E">
        <w:rPr>
          <w:color w:val="000000" w:themeColor="text1"/>
          <w:lang w:val="es-ES"/>
        </w:rPr>
        <w:t xml:space="preserve"> (NDC) a través de experiencias escolares de investigación científica. </w:t>
      </w:r>
      <w:r w:rsidRPr="00180415">
        <w:rPr>
          <w:i/>
          <w:color w:val="000000" w:themeColor="text1"/>
          <w:lang w:val="es-ES"/>
        </w:rPr>
        <w:t xml:space="preserve">Alambique Didáctica de las </w:t>
      </w:r>
      <w:r w:rsidR="007843A3">
        <w:rPr>
          <w:i/>
          <w:color w:val="000000" w:themeColor="text1"/>
          <w:lang w:val="es-ES"/>
        </w:rPr>
        <w:t>Ciencia</w:t>
      </w:r>
      <w:r w:rsidRPr="00180415">
        <w:rPr>
          <w:i/>
          <w:color w:val="000000" w:themeColor="text1"/>
          <w:lang w:val="es-ES"/>
        </w:rPr>
        <w:t>s Experimentales</w:t>
      </w:r>
      <w:r w:rsidRPr="00B2071E">
        <w:rPr>
          <w:color w:val="000000" w:themeColor="text1"/>
          <w:lang w:val="es-ES"/>
        </w:rPr>
        <w:t xml:space="preserve"> 72, 55-63.</w:t>
      </w:r>
    </w:p>
    <w:p w14:paraId="07E5C07A" w14:textId="2707D3CB"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García-Carmona, A., Vázquez, A., Manassero, M.A. (2012) Comprensión de los estudiantes sobre naturaleza de la </w:t>
      </w:r>
      <w:r w:rsidR="007843A3">
        <w:rPr>
          <w:color w:val="000000" w:themeColor="text1"/>
          <w:lang w:val="es-ES"/>
        </w:rPr>
        <w:t>ciencia</w:t>
      </w:r>
      <w:r w:rsidRPr="00B2071E">
        <w:rPr>
          <w:color w:val="000000" w:themeColor="text1"/>
          <w:lang w:val="es-ES"/>
        </w:rPr>
        <w:t xml:space="preserve">: análisis del estado actual de la cuestión y perspectivas. </w:t>
      </w:r>
      <w:r w:rsidRPr="00180415">
        <w:rPr>
          <w:i/>
          <w:color w:val="000000" w:themeColor="text1"/>
          <w:lang w:val="es-ES"/>
        </w:rPr>
        <w:t xml:space="preserve">Enseñanza de las </w:t>
      </w:r>
      <w:r w:rsidR="007843A3">
        <w:rPr>
          <w:i/>
          <w:color w:val="000000" w:themeColor="text1"/>
          <w:lang w:val="es-ES"/>
        </w:rPr>
        <w:t>ciencia</w:t>
      </w:r>
      <w:r w:rsidRPr="00180415">
        <w:rPr>
          <w:i/>
          <w:color w:val="000000" w:themeColor="text1"/>
          <w:lang w:val="es-ES"/>
        </w:rPr>
        <w:t>s</w:t>
      </w:r>
      <w:r w:rsidRPr="00B2071E">
        <w:rPr>
          <w:color w:val="000000" w:themeColor="text1"/>
          <w:lang w:val="es-ES"/>
        </w:rPr>
        <w:t xml:space="preserve"> 30(1), 23–34.</w:t>
      </w:r>
      <w:r w:rsidR="00180415">
        <w:rPr>
          <w:color w:val="000000" w:themeColor="text1"/>
          <w:lang w:val="es-ES"/>
        </w:rPr>
        <w:t xml:space="preserve"> </w:t>
      </w:r>
      <w:hyperlink r:id="rId32" w:history="1">
        <w:r w:rsidR="00180415" w:rsidRPr="00180415">
          <w:rPr>
            <w:rStyle w:val="Hipervnculo"/>
            <w:lang w:val="es-ES"/>
          </w:rPr>
          <w:t>DOI: 10.5565/rev/ec/v30n1.442</w:t>
        </w:r>
      </w:hyperlink>
    </w:p>
    <w:p w14:paraId="1415CED5" w14:textId="3CBAA28C"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García-Carmona, A. (2021). Prácticas no-epistémicas: ampliando la mirada en el enfoque didáctico basado en prácticas científicas. </w:t>
      </w:r>
      <w:r w:rsidRPr="00180415">
        <w:rPr>
          <w:i/>
          <w:color w:val="000000" w:themeColor="text1"/>
          <w:lang w:val="es-ES"/>
        </w:rPr>
        <w:t xml:space="preserve">Revista Eureka sobre Enseñanza y Divulgación de las </w:t>
      </w:r>
      <w:r w:rsidR="007843A3">
        <w:rPr>
          <w:i/>
          <w:color w:val="000000" w:themeColor="text1"/>
          <w:lang w:val="es-ES"/>
        </w:rPr>
        <w:t>Ciencia</w:t>
      </w:r>
      <w:r w:rsidRPr="00180415">
        <w:rPr>
          <w:i/>
          <w:color w:val="000000" w:themeColor="text1"/>
          <w:lang w:val="es-ES"/>
        </w:rPr>
        <w:t xml:space="preserve">s </w:t>
      </w:r>
      <w:r w:rsidRPr="00B2071E">
        <w:rPr>
          <w:color w:val="000000" w:themeColor="text1"/>
          <w:lang w:val="es-ES"/>
        </w:rPr>
        <w:t xml:space="preserve">18(1), 1108. </w:t>
      </w:r>
      <w:hyperlink r:id="rId33" w:history="1">
        <w:r w:rsidRPr="00180415">
          <w:rPr>
            <w:rStyle w:val="Hipervnculo"/>
            <w:lang w:val="es-ES"/>
          </w:rPr>
          <w:t>DOI: 10.25267/Rev_Eureka_ensen_divulg_cienc.2021.v18.i1.1108</w:t>
        </w:r>
      </w:hyperlink>
    </w:p>
    <w:p w14:paraId="23AC7D70" w14:textId="462FD2F5" w:rsidR="004E0AEC" w:rsidRPr="00654E29" w:rsidRDefault="004E0AEC" w:rsidP="004E0AEC">
      <w:pPr>
        <w:pStyle w:val="TextoNormal"/>
        <w:ind w:left="567" w:hanging="567"/>
        <w:rPr>
          <w:color w:val="000000" w:themeColor="text1"/>
          <w:lang w:val="es-ES"/>
        </w:rPr>
      </w:pPr>
      <w:r w:rsidRPr="00654E29">
        <w:rPr>
          <w:color w:val="000000" w:themeColor="text1"/>
          <w:lang w:val="es-ES"/>
        </w:rPr>
        <w:t>García-Molina, R. (2015). Pseudo</w:t>
      </w:r>
      <w:r w:rsidR="007843A3">
        <w:rPr>
          <w:color w:val="000000" w:themeColor="text1"/>
          <w:lang w:val="es-ES"/>
        </w:rPr>
        <w:t>ciencia</w:t>
      </w:r>
      <w:r w:rsidRPr="00654E29">
        <w:rPr>
          <w:color w:val="000000" w:themeColor="text1"/>
          <w:lang w:val="es-ES"/>
        </w:rPr>
        <w:t xml:space="preserve"> en el mundo contemporáneo. </w:t>
      </w:r>
      <w:r w:rsidRPr="00180415">
        <w:rPr>
          <w:i/>
          <w:color w:val="000000" w:themeColor="text1"/>
          <w:lang w:val="es-ES"/>
        </w:rPr>
        <w:t xml:space="preserve">Alambique, Didáctica de las </w:t>
      </w:r>
      <w:r w:rsidR="007843A3">
        <w:rPr>
          <w:i/>
          <w:color w:val="000000" w:themeColor="text1"/>
          <w:lang w:val="es-ES"/>
        </w:rPr>
        <w:t>Ciencia</w:t>
      </w:r>
      <w:r w:rsidRPr="00180415">
        <w:rPr>
          <w:i/>
          <w:color w:val="000000" w:themeColor="text1"/>
          <w:lang w:val="es-ES"/>
        </w:rPr>
        <w:t xml:space="preserve">s Experimentales </w:t>
      </w:r>
      <w:r w:rsidRPr="00654E29">
        <w:rPr>
          <w:color w:val="000000" w:themeColor="text1"/>
          <w:lang w:val="es-ES"/>
        </w:rPr>
        <w:t>81, 25-33.</w:t>
      </w:r>
    </w:p>
    <w:p w14:paraId="2B54E86D" w14:textId="77777777"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Giere, R. N. (1990). </w:t>
      </w:r>
      <w:r w:rsidRPr="00180415">
        <w:rPr>
          <w:i/>
          <w:color w:val="000000" w:themeColor="text1"/>
          <w:lang w:val="es-ES"/>
        </w:rPr>
        <w:t>Explaining science: a cognitive approach</w:t>
      </w:r>
      <w:r w:rsidRPr="00654E29">
        <w:rPr>
          <w:color w:val="000000" w:themeColor="text1"/>
          <w:lang w:val="es-ES"/>
        </w:rPr>
        <w:t>. Chicago: The University of Chicago Press.</w:t>
      </w:r>
    </w:p>
    <w:p w14:paraId="7365584D"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Giere, R.N. (2001). A new framework for teaching scientific reasoning. </w:t>
      </w:r>
      <w:r w:rsidRPr="0027768B">
        <w:rPr>
          <w:i/>
          <w:color w:val="000000" w:themeColor="text1"/>
          <w:lang w:val="es-ES"/>
        </w:rPr>
        <w:t>Argumentation</w:t>
      </w:r>
      <w:r w:rsidRPr="00B2071E">
        <w:rPr>
          <w:color w:val="000000" w:themeColor="text1"/>
          <w:lang w:val="es-ES"/>
        </w:rPr>
        <w:t xml:space="preserve"> 15(1), 21-33.</w:t>
      </w:r>
      <w:r w:rsidR="00526654">
        <w:rPr>
          <w:color w:val="000000" w:themeColor="text1"/>
          <w:lang w:val="es-ES"/>
        </w:rPr>
        <w:t xml:space="preserve"> </w:t>
      </w:r>
      <w:hyperlink r:id="rId34" w:history="1">
        <w:r w:rsidR="00526654" w:rsidRPr="00526654">
          <w:rPr>
            <w:rStyle w:val="Hipervnculo"/>
            <w:lang w:val="es-ES"/>
          </w:rPr>
          <w:t>DOI: 10.1023/A:1007880010975</w:t>
        </w:r>
      </w:hyperlink>
    </w:p>
    <w:p w14:paraId="11F97B19" w14:textId="77777777"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Harlen, W. (Ed.). (2010). </w:t>
      </w:r>
      <w:r w:rsidRPr="00526654">
        <w:rPr>
          <w:i/>
          <w:color w:val="000000" w:themeColor="text1"/>
          <w:lang w:val="es-ES"/>
        </w:rPr>
        <w:t>Principles and big ideas of science education.</w:t>
      </w:r>
      <w:r w:rsidRPr="00654E29">
        <w:rPr>
          <w:color w:val="000000" w:themeColor="text1"/>
          <w:lang w:val="es-ES"/>
        </w:rPr>
        <w:t xml:space="preserve"> Association for Science Education.</w:t>
      </w:r>
    </w:p>
    <w:p w14:paraId="2AF4265B" w14:textId="77777777"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Hobson, A (2001).Teaching Relevant Science for Scientific Literacy: Adding a Cultural Context to the Sciences. </w:t>
      </w:r>
      <w:r w:rsidRPr="00526654">
        <w:rPr>
          <w:i/>
          <w:color w:val="000000" w:themeColor="text1"/>
          <w:lang w:val="es-ES"/>
        </w:rPr>
        <w:t>Journal of College Science Teaching</w:t>
      </w:r>
      <w:r w:rsidRPr="00654E29">
        <w:rPr>
          <w:color w:val="000000" w:themeColor="text1"/>
          <w:lang w:val="es-ES"/>
        </w:rPr>
        <w:t xml:space="preserve"> 30(4), 238-243.</w:t>
      </w:r>
    </w:p>
    <w:p w14:paraId="73703457" w14:textId="77777777" w:rsidR="004E0AEC" w:rsidRPr="00F13026" w:rsidRDefault="004E0AEC" w:rsidP="004E0AEC">
      <w:pPr>
        <w:pStyle w:val="TextoNormal"/>
        <w:ind w:left="567" w:hanging="567"/>
        <w:rPr>
          <w:color w:val="000000" w:themeColor="text1"/>
          <w:lang w:val="es-ES"/>
        </w:rPr>
      </w:pPr>
      <w:r w:rsidRPr="00F13026">
        <w:rPr>
          <w:color w:val="000000" w:themeColor="text1"/>
          <w:lang w:val="es-ES"/>
        </w:rPr>
        <w:t xml:space="preserve">Hofer, B.K. y Pintrich, P.R. (1997). The Development of Epistemological Theories: Beliefs About Knowledge and Knowing and Their Relation to Learning. </w:t>
      </w:r>
      <w:r w:rsidRPr="00526654">
        <w:rPr>
          <w:i/>
          <w:color w:val="000000" w:themeColor="text1"/>
          <w:lang w:val="es-ES"/>
        </w:rPr>
        <w:t>Review of Educational Research</w:t>
      </w:r>
      <w:r w:rsidRPr="00F13026">
        <w:rPr>
          <w:color w:val="000000" w:themeColor="text1"/>
          <w:lang w:val="es-ES"/>
        </w:rPr>
        <w:t xml:space="preserve"> 67(1), 88-140.</w:t>
      </w:r>
      <w:r w:rsidR="00526654">
        <w:rPr>
          <w:color w:val="000000" w:themeColor="text1"/>
          <w:lang w:val="es-ES"/>
        </w:rPr>
        <w:t xml:space="preserve"> </w:t>
      </w:r>
      <w:hyperlink r:id="rId35" w:history="1">
        <w:r w:rsidR="00526654" w:rsidRPr="00526654">
          <w:rPr>
            <w:rStyle w:val="Hipervnculo"/>
            <w:lang w:val="es-ES"/>
          </w:rPr>
          <w:t>DOI: 10.3102/00346543067001088</w:t>
        </w:r>
      </w:hyperlink>
    </w:p>
    <w:p w14:paraId="3294F228" w14:textId="77777777"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INE (Instituto Nacional de Estadística) (2013) </w:t>
      </w:r>
      <w:r w:rsidRPr="00526654">
        <w:rPr>
          <w:i/>
          <w:color w:val="000000" w:themeColor="text1"/>
          <w:lang w:val="es-ES"/>
        </w:rPr>
        <w:t>Encuesta Nacional de Salud</w:t>
      </w:r>
      <w:r w:rsidRPr="00654E29">
        <w:rPr>
          <w:color w:val="000000" w:themeColor="text1"/>
          <w:lang w:val="es-ES"/>
        </w:rPr>
        <w:t xml:space="preserve"> 2011-2012. www.ine.es</w:t>
      </w:r>
    </w:p>
    <w:p w14:paraId="171AA873" w14:textId="368C4412"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Izquierdo-Aymerich, M. (1996). Relación entre la historia y la filosofía de la </w:t>
      </w:r>
      <w:r w:rsidR="007843A3">
        <w:rPr>
          <w:color w:val="000000" w:themeColor="text1"/>
          <w:lang w:val="es-ES"/>
        </w:rPr>
        <w:t>ciencia</w:t>
      </w:r>
      <w:r w:rsidRPr="00B2071E">
        <w:rPr>
          <w:color w:val="000000" w:themeColor="text1"/>
          <w:lang w:val="es-ES"/>
        </w:rPr>
        <w:t xml:space="preserve"> y la enseñanza de las </w:t>
      </w:r>
      <w:r w:rsidR="007843A3">
        <w:rPr>
          <w:color w:val="000000" w:themeColor="text1"/>
          <w:lang w:val="es-ES"/>
        </w:rPr>
        <w:t>ciencia</w:t>
      </w:r>
      <w:r w:rsidRPr="00B2071E">
        <w:rPr>
          <w:color w:val="000000" w:themeColor="text1"/>
          <w:lang w:val="es-ES"/>
        </w:rPr>
        <w:t xml:space="preserve">s. </w:t>
      </w:r>
      <w:r w:rsidR="00526654" w:rsidRPr="00526654">
        <w:rPr>
          <w:i/>
          <w:color w:val="000000" w:themeColor="text1"/>
          <w:lang w:val="es-ES"/>
        </w:rPr>
        <w:t xml:space="preserve">Alambique Didáctica de las </w:t>
      </w:r>
      <w:r w:rsidR="007843A3">
        <w:rPr>
          <w:i/>
          <w:color w:val="000000" w:themeColor="text1"/>
          <w:lang w:val="es-ES"/>
        </w:rPr>
        <w:t>Ciencia</w:t>
      </w:r>
      <w:r w:rsidR="00526654" w:rsidRPr="00526654">
        <w:rPr>
          <w:i/>
          <w:color w:val="000000" w:themeColor="text1"/>
          <w:lang w:val="es-ES"/>
        </w:rPr>
        <w:t>s Experimentales</w:t>
      </w:r>
      <w:r w:rsidRPr="00B2071E">
        <w:rPr>
          <w:color w:val="000000" w:themeColor="text1"/>
          <w:lang w:val="es-ES"/>
        </w:rPr>
        <w:t>, 8, 7-21.</w:t>
      </w:r>
    </w:p>
    <w:p w14:paraId="74BCF4ED"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Jiménez-Aleixandre, M. P. (2010) 10 ideas clave. </w:t>
      </w:r>
      <w:r w:rsidRPr="00526654">
        <w:rPr>
          <w:i/>
          <w:color w:val="000000" w:themeColor="text1"/>
          <w:lang w:val="es-ES"/>
        </w:rPr>
        <w:t>Competencias en argumentación y uso de pruebas.</w:t>
      </w:r>
      <w:r w:rsidRPr="00B2071E">
        <w:rPr>
          <w:color w:val="000000" w:themeColor="text1"/>
          <w:lang w:val="es-ES"/>
        </w:rPr>
        <w:t xml:space="preserve"> Barcelona: Graó. </w:t>
      </w:r>
    </w:p>
    <w:p w14:paraId="100D2E4C" w14:textId="5ADEF1EE"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Jiménez-Liso, R., López-Gay, R., Martínez-Chico, M. (2012) Cómo trabajar en el aula los criterios para aceptar o rechazar modelos científicos. </w:t>
      </w:r>
      <w:r w:rsidRPr="00526654">
        <w:rPr>
          <w:i/>
          <w:color w:val="000000" w:themeColor="text1"/>
          <w:lang w:val="es-ES"/>
        </w:rPr>
        <w:t xml:space="preserve">Alambique Didáctica de las </w:t>
      </w:r>
      <w:r w:rsidR="007843A3">
        <w:rPr>
          <w:i/>
          <w:color w:val="000000" w:themeColor="text1"/>
          <w:lang w:val="es-ES"/>
        </w:rPr>
        <w:t>Ciencia</w:t>
      </w:r>
      <w:r w:rsidRPr="00526654">
        <w:rPr>
          <w:i/>
          <w:color w:val="000000" w:themeColor="text1"/>
          <w:lang w:val="es-ES"/>
        </w:rPr>
        <w:t xml:space="preserve">s Experimentales </w:t>
      </w:r>
      <w:r w:rsidRPr="00B2071E">
        <w:rPr>
          <w:color w:val="000000" w:themeColor="text1"/>
          <w:lang w:val="es-ES"/>
        </w:rPr>
        <w:t>72, 47-54.</w:t>
      </w:r>
    </w:p>
    <w:p w14:paraId="64B5D95F" w14:textId="289E4589" w:rsidR="004E0AEC" w:rsidRPr="001C6806" w:rsidRDefault="004E0AEC" w:rsidP="004E0AEC">
      <w:pPr>
        <w:pStyle w:val="TextoNormal"/>
        <w:ind w:left="567" w:hanging="567"/>
        <w:rPr>
          <w:color w:val="FF0000"/>
          <w:lang w:val="es-ES"/>
        </w:rPr>
      </w:pPr>
      <w:r w:rsidRPr="00B2071E">
        <w:rPr>
          <w:color w:val="000000" w:themeColor="text1"/>
          <w:lang w:val="es-ES"/>
        </w:rPr>
        <w:t xml:space="preserve">Jiménez-Taracido, L., Otero, J. (2019). La educación científica frente al pensamiento anticrítico en la vida </w:t>
      </w:r>
      <w:r w:rsidRPr="00526654">
        <w:rPr>
          <w:color w:val="000000" w:themeColor="text1"/>
          <w:lang w:val="es-ES"/>
        </w:rPr>
        <w:t xml:space="preserve">diaria. </w:t>
      </w:r>
      <w:r w:rsidRPr="00526654">
        <w:rPr>
          <w:i/>
          <w:color w:val="000000" w:themeColor="text1"/>
          <w:lang w:val="es-ES"/>
        </w:rPr>
        <w:t xml:space="preserve">Enseñanza de las </w:t>
      </w:r>
      <w:r w:rsidR="007843A3">
        <w:rPr>
          <w:i/>
          <w:color w:val="000000" w:themeColor="text1"/>
          <w:lang w:val="es-ES"/>
        </w:rPr>
        <w:t>ciencia</w:t>
      </w:r>
      <w:r w:rsidRPr="00526654">
        <w:rPr>
          <w:i/>
          <w:color w:val="000000" w:themeColor="text1"/>
          <w:lang w:val="es-ES"/>
        </w:rPr>
        <w:t>s</w:t>
      </w:r>
      <w:r w:rsidRPr="00526654">
        <w:rPr>
          <w:color w:val="000000" w:themeColor="text1"/>
          <w:lang w:val="es-ES"/>
        </w:rPr>
        <w:t>, 37(1), 117-135.</w:t>
      </w:r>
      <w:r w:rsidR="00526654" w:rsidRPr="00526654">
        <w:rPr>
          <w:color w:val="000000" w:themeColor="text1"/>
          <w:lang w:val="es-ES"/>
        </w:rPr>
        <w:t xml:space="preserve"> </w:t>
      </w:r>
      <w:hyperlink r:id="rId36" w:history="1">
        <w:r w:rsidR="00526654">
          <w:rPr>
            <w:rStyle w:val="Hipervnculo"/>
            <w:lang w:val="es-ES"/>
          </w:rPr>
          <w:t xml:space="preserve">DOI: </w:t>
        </w:r>
        <w:r w:rsidR="00526654" w:rsidRPr="00526654">
          <w:rPr>
            <w:rStyle w:val="Hipervnculo"/>
            <w:lang w:val="es-ES"/>
          </w:rPr>
          <w:t>10.5565/rev/ens</w:t>
        </w:r>
        <w:r w:rsidR="007843A3">
          <w:rPr>
            <w:rStyle w:val="Hipervnculo"/>
            <w:lang w:val="es-ES"/>
          </w:rPr>
          <w:t>ciencia</w:t>
        </w:r>
        <w:r w:rsidR="00526654" w:rsidRPr="00526654">
          <w:rPr>
            <w:rStyle w:val="Hipervnculo"/>
            <w:lang w:val="es-ES"/>
          </w:rPr>
          <w:t>s.2608</w:t>
        </w:r>
      </w:hyperlink>
    </w:p>
    <w:p w14:paraId="2F610175" w14:textId="77777777"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Kind, P. y Osborne, J. (2016). Styles of scientific reasoning: a cultural rationales for science education? </w:t>
      </w:r>
      <w:r w:rsidRPr="00526654">
        <w:rPr>
          <w:i/>
          <w:color w:val="000000" w:themeColor="text1"/>
          <w:lang w:val="es-ES"/>
        </w:rPr>
        <w:t>Science education</w:t>
      </w:r>
      <w:r w:rsidRPr="00654E29">
        <w:rPr>
          <w:color w:val="000000" w:themeColor="text1"/>
          <w:lang w:val="es-ES"/>
        </w:rPr>
        <w:t xml:space="preserve">, 101, 8-31. </w:t>
      </w:r>
      <w:hyperlink r:id="rId37" w:history="1">
        <w:r w:rsidR="00526654">
          <w:rPr>
            <w:rStyle w:val="Hipervnculo"/>
            <w:lang w:val="es-ES"/>
          </w:rPr>
          <w:t xml:space="preserve">DOI: </w:t>
        </w:r>
        <w:r w:rsidR="00526654" w:rsidRPr="00526654">
          <w:rPr>
            <w:rStyle w:val="Hipervnculo"/>
            <w:lang w:val="es-ES"/>
          </w:rPr>
          <w:t>10.1002/sce.21251</w:t>
        </w:r>
      </w:hyperlink>
    </w:p>
    <w:p w14:paraId="3781A738"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Lederman, N.G. (2007). Nature of science: past, present, and future. En: Abell, S. K. y Lederman, N. G. (Eds.), </w:t>
      </w:r>
      <w:r w:rsidRPr="00526654">
        <w:rPr>
          <w:i/>
          <w:color w:val="000000" w:themeColor="text1"/>
          <w:lang w:val="es-ES"/>
        </w:rPr>
        <w:t>Handbook of research on science education</w:t>
      </w:r>
      <w:r w:rsidRPr="00B2071E">
        <w:rPr>
          <w:color w:val="000000" w:themeColor="text1"/>
          <w:lang w:val="es-ES"/>
        </w:rPr>
        <w:t>. Mahwah, NJ: Lawrence Erlbaum Associates.</w:t>
      </w:r>
    </w:p>
    <w:p w14:paraId="03F8CE4A" w14:textId="5DC682B8" w:rsidR="004E0AEC" w:rsidRPr="00B2071E" w:rsidRDefault="004E0AEC" w:rsidP="004E0AEC">
      <w:pPr>
        <w:pStyle w:val="TextoNormal"/>
        <w:ind w:left="567" w:hanging="567"/>
        <w:rPr>
          <w:color w:val="000000" w:themeColor="text1"/>
          <w:lang w:val="es-ES"/>
        </w:rPr>
      </w:pPr>
      <w:r w:rsidRPr="00B2071E">
        <w:rPr>
          <w:color w:val="000000" w:themeColor="text1"/>
          <w:lang w:val="es-ES"/>
        </w:rPr>
        <w:t>Lederman, N.G.</w:t>
      </w:r>
      <w:r w:rsidR="00526654">
        <w:rPr>
          <w:color w:val="000000" w:themeColor="text1"/>
          <w:lang w:val="es-ES"/>
        </w:rPr>
        <w:t xml:space="preserve"> </w:t>
      </w:r>
      <w:r w:rsidRPr="00B2071E">
        <w:rPr>
          <w:color w:val="000000" w:themeColor="text1"/>
          <w:lang w:val="es-ES"/>
        </w:rPr>
        <w:t xml:space="preserve">y Lederman, J.S. (2004) Revising instruction to teach nature of science. </w:t>
      </w:r>
      <w:r w:rsidRPr="00526654">
        <w:rPr>
          <w:i/>
          <w:color w:val="000000" w:themeColor="text1"/>
          <w:lang w:val="es-ES"/>
        </w:rPr>
        <w:t>The Science Teacher</w:t>
      </w:r>
      <w:r w:rsidR="00043370">
        <w:rPr>
          <w:color w:val="000000" w:themeColor="text1"/>
          <w:lang w:val="es-ES"/>
        </w:rPr>
        <w:t xml:space="preserve"> </w:t>
      </w:r>
      <w:r w:rsidRPr="00B2071E">
        <w:rPr>
          <w:color w:val="000000" w:themeColor="text1"/>
          <w:lang w:val="es-ES"/>
        </w:rPr>
        <w:t>7(9), 36-39.</w:t>
      </w:r>
    </w:p>
    <w:p w14:paraId="7B0E902C" w14:textId="092756FE" w:rsidR="004E0AEC" w:rsidRPr="00F13026" w:rsidRDefault="004E0AEC" w:rsidP="004E0AEC">
      <w:pPr>
        <w:pStyle w:val="TextoNormal"/>
        <w:ind w:left="567" w:hanging="567"/>
        <w:rPr>
          <w:color w:val="000000" w:themeColor="text1"/>
          <w:lang w:val="es-ES"/>
        </w:rPr>
      </w:pPr>
      <w:r w:rsidRPr="00F13026">
        <w:rPr>
          <w:color w:val="000000" w:themeColor="text1"/>
          <w:lang w:val="es-ES"/>
        </w:rPr>
        <w:t xml:space="preserve">Lupión, T. y Girón, J.R. (2020). Percepciones del alumnado de Educación Secundaria (15-17 años) hacia la función social de la </w:t>
      </w:r>
      <w:r w:rsidR="007843A3">
        <w:rPr>
          <w:color w:val="000000" w:themeColor="text1"/>
          <w:lang w:val="es-ES"/>
        </w:rPr>
        <w:t>ciencia</w:t>
      </w:r>
      <w:r w:rsidRPr="00F13026">
        <w:rPr>
          <w:color w:val="000000" w:themeColor="text1"/>
          <w:lang w:val="es-ES"/>
        </w:rPr>
        <w:t xml:space="preserve">. </w:t>
      </w:r>
      <w:r w:rsidRPr="00526654">
        <w:rPr>
          <w:i/>
          <w:color w:val="000000" w:themeColor="text1"/>
          <w:lang w:val="es-ES"/>
        </w:rPr>
        <w:t xml:space="preserve">Didáctica de las </w:t>
      </w:r>
      <w:r w:rsidR="007843A3">
        <w:rPr>
          <w:i/>
          <w:color w:val="000000" w:themeColor="text1"/>
          <w:lang w:val="es-ES"/>
        </w:rPr>
        <w:t>Ciencia</w:t>
      </w:r>
      <w:r w:rsidRPr="00526654">
        <w:rPr>
          <w:i/>
          <w:color w:val="000000" w:themeColor="text1"/>
          <w:lang w:val="es-ES"/>
        </w:rPr>
        <w:t>s Experimentales y Sociales</w:t>
      </w:r>
      <w:r w:rsidRPr="00F13026">
        <w:rPr>
          <w:color w:val="000000" w:themeColor="text1"/>
          <w:lang w:val="es-ES"/>
        </w:rPr>
        <w:t xml:space="preserve">, 39, 81-98. </w:t>
      </w:r>
      <w:hyperlink r:id="rId38" w:history="1">
        <w:r w:rsidR="00526654">
          <w:rPr>
            <w:rStyle w:val="Hipervnculo"/>
            <w:lang w:val="es-ES"/>
          </w:rPr>
          <w:t xml:space="preserve">DOI: </w:t>
        </w:r>
        <w:r w:rsidRPr="00526654">
          <w:rPr>
            <w:rStyle w:val="Hipervnculo"/>
            <w:lang w:val="es-ES"/>
          </w:rPr>
          <w:t>10.7203/dces.39.17766</w:t>
        </w:r>
      </w:hyperlink>
      <w:r w:rsidRPr="00F13026">
        <w:rPr>
          <w:color w:val="000000" w:themeColor="text1"/>
          <w:lang w:val="es-ES"/>
        </w:rPr>
        <w:t xml:space="preserve"> </w:t>
      </w:r>
    </w:p>
    <w:p w14:paraId="78BDD706" w14:textId="77777777"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Llewellyn, D. (2005). </w:t>
      </w:r>
      <w:r w:rsidRPr="00526654">
        <w:rPr>
          <w:i/>
          <w:color w:val="000000" w:themeColor="text1"/>
          <w:lang w:val="es-ES"/>
        </w:rPr>
        <w:t>Teaching High School Science through Inquiry: A case study approach</w:t>
      </w:r>
      <w:r w:rsidRPr="00654E29">
        <w:rPr>
          <w:color w:val="000000" w:themeColor="text1"/>
          <w:lang w:val="es-ES"/>
        </w:rPr>
        <w:t>. Corwin Press &amp; NSTA press.</w:t>
      </w:r>
    </w:p>
    <w:p w14:paraId="25EF08E0" w14:textId="116396F9"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Marbà A., Márquez C. y Sanmartí, N. (2009). ¿Qué implica leer en clase de </w:t>
      </w:r>
      <w:r w:rsidR="007843A3">
        <w:rPr>
          <w:color w:val="000000" w:themeColor="text1"/>
          <w:lang w:val="es-ES"/>
        </w:rPr>
        <w:t>ciencia</w:t>
      </w:r>
      <w:r w:rsidRPr="00B2071E">
        <w:rPr>
          <w:color w:val="000000" w:themeColor="text1"/>
          <w:lang w:val="es-ES"/>
        </w:rPr>
        <w:t xml:space="preserve">s? </w:t>
      </w:r>
      <w:r w:rsidRPr="00526654">
        <w:rPr>
          <w:i/>
          <w:color w:val="000000" w:themeColor="text1"/>
          <w:lang w:val="es-ES"/>
        </w:rPr>
        <w:t xml:space="preserve">Alambique, Didáctica de las </w:t>
      </w:r>
      <w:r w:rsidR="007843A3">
        <w:rPr>
          <w:i/>
          <w:color w:val="000000" w:themeColor="text1"/>
          <w:lang w:val="es-ES"/>
        </w:rPr>
        <w:t>Ciencia</w:t>
      </w:r>
      <w:r w:rsidRPr="00526654">
        <w:rPr>
          <w:i/>
          <w:color w:val="000000" w:themeColor="text1"/>
          <w:lang w:val="es-ES"/>
        </w:rPr>
        <w:t>s Experimentales</w:t>
      </w:r>
      <w:r w:rsidRPr="00B2071E">
        <w:rPr>
          <w:color w:val="000000" w:themeColor="text1"/>
          <w:lang w:val="es-ES"/>
        </w:rPr>
        <w:t>, 59, 102-111.</w:t>
      </w:r>
    </w:p>
    <w:p w14:paraId="5E34516A"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McComas, W. F., Clough, M. P. y Almazroa, H. (1998). The Role and Character of the Nature of Science in Science Education. En W. F. McComas (Ed.), </w:t>
      </w:r>
      <w:r w:rsidRPr="00526654">
        <w:rPr>
          <w:i/>
          <w:color w:val="000000" w:themeColor="text1"/>
          <w:lang w:val="es-ES"/>
        </w:rPr>
        <w:t>The Nature Of Science In Science Education. Rationales and Strategies.</w:t>
      </w:r>
      <w:r w:rsidRPr="00B2071E">
        <w:rPr>
          <w:color w:val="000000" w:themeColor="text1"/>
          <w:lang w:val="es-ES"/>
        </w:rPr>
        <w:t xml:space="preserve"> Dordrecht, The Netherlands: Kluwer Academic Publishers.</w:t>
      </w:r>
    </w:p>
    <w:p w14:paraId="182439C2"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lastRenderedPageBreak/>
        <w:t>Michel, H.</w:t>
      </w:r>
      <w:r w:rsidR="00B2071E" w:rsidRPr="00B2071E">
        <w:rPr>
          <w:color w:val="000000" w:themeColor="text1"/>
          <w:lang w:val="es-ES"/>
        </w:rPr>
        <w:t xml:space="preserve"> y </w:t>
      </w:r>
      <w:r w:rsidRPr="00B2071E">
        <w:rPr>
          <w:color w:val="000000" w:themeColor="text1"/>
          <w:lang w:val="es-ES"/>
        </w:rPr>
        <w:t>Neumann, I.</w:t>
      </w:r>
      <w:r w:rsidR="00526654">
        <w:rPr>
          <w:color w:val="000000" w:themeColor="text1"/>
          <w:lang w:val="es-ES"/>
        </w:rPr>
        <w:t xml:space="preserve"> (2016)</w:t>
      </w:r>
      <w:r w:rsidRPr="00B2071E">
        <w:rPr>
          <w:color w:val="000000" w:themeColor="text1"/>
          <w:lang w:val="es-ES"/>
        </w:rPr>
        <w:t xml:space="preserve"> Nature of Science and Science Content Learning. </w:t>
      </w:r>
      <w:r w:rsidRPr="00526654">
        <w:rPr>
          <w:i/>
          <w:color w:val="000000" w:themeColor="text1"/>
          <w:lang w:val="es-ES"/>
        </w:rPr>
        <w:t>Sci &amp; Educ</w:t>
      </w:r>
      <w:r w:rsidR="00526654">
        <w:rPr>
          <w:color w:val="000000" w:themeColor="text1"/>
          <w:lang w:val="es-ES"/>
        </w:rPr>
        <w:t xml:space="preserve"> 25, 951–975. </w:t>
      </w:r>
      <w:hyperlink r:id="rId39" w:history="1">
        <w:r w:rsidR="00526654">
          <w:rPr>
            <w:rStyle w:val="Hipervnculo"/>
            <w:lang w:val="es-ES"/>
          </w:rPr>
          <w:t xml:space="preserve">DOI: </w:t>
        </w:r>
        <w:r w:rsidRPr="00526654">
          <w:rPr>
            <w:rStyle w:val="Hipervnculo"/>
            <w:lang w:val="es-ES"/>
          </w:rPr>
          <w:t>10.1007/s11191-016-9860-4</w:t>
        </w:r>
      </w:hyperlink>
    </w:p>
    <w:p w14:paraId="40C890AF" w14:textId="7DF653ED"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MINECO (Ministerio de Economía, Industria y Competitividad) (2016). </w:t>
      </w:r>
      <w:r w:rsidRPr="00092D7B">
        <w:rPr>
          <w:i/>
          <w:color w:val="000000" w:themeColor="text1"/>
          <w:lang w:val="es-ES"/>
        </w:rPr>
        <w:t xml:space="preserve">VIII Encuesta de Percepción Social de la </w:t>
      </w:r>
      <w:r w:rsidR="007843A3">
        <w:rPr>
          <w:i/>
          <w:color w:val="000000" w:themeColor="text1"/>
          <w:lang w:val="es-ES"/>
        </w:rPr>
        <w:t>Ciencia</w:t>
      </w:r>
      <w:r w:rsidRPr="00654E29">
        <w:rPr>
          <w:color w:val="000000" w:themeColor="text1"/>
          <w:lang w:val="es-ES"/>
        </w:rPr>
        <w:t>. [ https://t.co/KrH1UmNwLZ ] [Consultado en 12/12/</w:t>
      </w:r>
      <w:r w:rsidR="00654E29">
        <w:rPr>
          <w:color w:val="000000" w:themeColor="text1"/>
          <w:lang w:val="es-ES"/>
        </w:rPr>
        <w:t>20</w:t>
      </w:r>
      <w:r w:rsidRPr="00654E29">
        <w:rPr>
          <w:color w:val="000000" w:themeColor="text1"/>
          <w:lang w:val="es-ES"/>
        </w:rPr>
        <w:t>]</w:t>
      </w:r>
    </w:p>
    <w:p w14:paraId="69634ECE" w14:textId="6AC4C1CF" w:rsidR="004E0AEC" w:rsidRPr="00F13026" w:rsidRDefault="004E0AEC" w:rsidP="004E0AEC">
      <w:pPr>
        <w:pStyle w:val="TextoNormal"/>
        <w:ind w:left="567" w:hanging="567"/>
        <w:rPr>
          <w:color w:val="000000" w:themeColor="text1"/>
          <w:lang w:val="es-ES"/>
        </w:rPr>
      </w:pPr>
      <w:r w:rsidRPr="00F13026">
        <w:rPr>
          <w:color w:val="000000" w:themeColor="text1"/>
          <w:lang w:val="es-ES"/>
        </w:rPr>
        <w:t xml:space="preserve">Moreno, L., Zuñiga, K., Cofré, H., Merino, C. (2018). Efecto (¿o no?) de la inclusión de naturaleza de la </w:t>
      </w:r>
      <w:r w:rsidR="007843A3">
        <w:rPr>
          <w:color w:val="000000" w:themeColor="text1"/>
          <w:lang w:val="es-ES"/>
        </w:rPr>
        <w:t>ciencia</w:t>
      </w:r>
      <w:r w:rsidRPr="00F13026">
        <w:rPr>
          <w:color w:val="000000" w:themeColor="text1"/>
          <w:lang w:val="es-ES"/>
        </w:rPr>
        <w:t xml:space="preserve"> en una secuencia para el aprendizaje y la aceptación de la teoría de la evolución. </w:t>
      </w:r>
      <w:r w:rsidRPr="00526654">
        <w:rPr>
          <w:i/>
          <w:color w:val="000000" w:themeColor="text1"/>
          <w:lang w:val="es-ES"/>
        </w:rPr>
        <w:t xml:space="preserve">Revista Eureka sobre Enseñanza y Divulgación de las </w:t>
      </w:r>
      <w:r w:rsidR="007843A3">
        <w:rPr>
          <w:i/>
          <w:color w:val="000000" w:themeColor="text1"/>
          <w:lang w:val="es-ES"/>
        </w:rPr>
        <w:t>Ciencia</w:t>
      </w:r>
      <w:r w:rsidRPr="00526654">
        <w:rPr>
          <w:i/>
          <w:color w:val="000000" w:themeColor="text1"/>
          <w:lang w:val="es-ES"/>
        </w:rPr>
        <w:t>s</w:t>
      </w:r>
      <w:r w:rsidRPr="00F13026">
        <w:rPr>
          <w:color w:val="000000" w:themeColor="text1"/>
          <w:lang w:val="es-ES"/>
        </w:rPr>
        <w:t xml:space="preserve"> 15 (3), 3105.</w:t>
      </w:r>
      <w:r w:rsidR="00526654">
        <w:rPr>
          <w:color w:val="000000" w:themeColor="text1"/>
          <w:lang w:val="es-ES"/>
        </w:rPr>
        <w:t xml:space="preserve"> </w:t>
      </w:r>
      <w:hyperlink r:id="rId40" w:history="1">
        <w:r w:rsidR="00526654">
          <w:rPr>
            <w:rStyle w:val="Hipervnculo"/>
            <w:lang w:val="es-ES"/>
          </w:rPr>
          <w:t xml:space="preserve">DOI: </w:t>
        </w:r>
        <w:r w:rsidR="00526654" w:rsidRPr="00526654">
          <w:rPr>
            <w:rStyle w:val="Hipervnculo"/>
            <w:lang w:val="es-ES"/>
          </w:rPr>
          <w:t>10.25267/Rev_Eureka_ensen_divulg_cienc.2018.v15.i3.3105</w:t>
        </w:r>
      </w:hyperlink>
    </w:p>
    <w:p w14:paraId="21D32EBF"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National Research Council (NRC) (2012). </w:t>
      </w:r>
      <w:r w:rsidRPr="00526654">
        <w:rPr>
          <w:i/>
          <w:color w:val="000000" w:themeColor="text1"/>
          <w:lang w:val="es-ES"/>
        </w:rPr>
        <w:t>A framework for K12 Science Education: practices, crosscutting concepts and core ideas.</w:t>
      </w:r>
      <w:r w:rsidRPr="00B2071E">
        <w:rPr>
          <w:color w:val="000000" w:themeColor="text1"/>
          <w:lang w:val="es-ES"/>
        </w:rPr>
        <w:t xml:space="preserve"> Washington DC: National Academy Press.</w:t>
      </w:r>
    </w:p>
    <w:p w14:paraId="3DB51D2B" w14:textId="77777777"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OCDE (2013). </w:t>
      </w:r>
      <w:r w:rsidRPr="00526654">
        <w:rPr>
          <w:i/>
          <w:color w:val="000000" w:themeColor="text1"/>
          <w:lang w:val="es-ES"/>
        </w:rPr>
        <w:t>PISA 2015 draft science framework</w:t>
      </w:r>
      <w:r w:rsidRPr="00654E29">
        <w:rPr>
          <w:color w:val="000000" w:themeColor="text1"/>
          <w:lang w:val="es-ES"/>
        </w:rPr>
        <w:t xml:space="preserve">. http://www.oecd.org/ </w:t>
      </w:r>
    </w:p>
    <w:p w14:paraId="682CD4E8" w14:textId="77777777" w:rsidR="00A76FF2" w:rsidRPr="00B2071E" w:rsidRDefault="004E0AEC" w:rsidP="004E0AEC">
      <w:pPr>
        <w:pStyle w:val="TextoNormal"/>
        <w:ind w:left="567" w:hanging="567"/>
        <w:rPr>
          <w:color w:val="000000" w:themeColor="text1"/>
          <w:lang w:val="es-ES"/>
        </w:rPr>
      </w:pPr>
      <w:r w:rsidRPr="00B2071E">
        <w:rPr>
          <w:color w:val="000000" w:themeColor="text1"/>
          <w:lang w:val="es-ES"/>
        </w:rPr>
        <w:t xml:space="preserve">Oliveras, B., Márquez, C., </w:t>
      </w:r>
      <w:r w:rsidR="00B2071E" w:rsidRPr="00B2071E">
        <w:rPr>
          <w:color w:val="000000" w:themeColor="text1"/>
          <w:lang w:val="es-ES"/>
        </w:rPr>
        <w:t>y</w:t>
      </w:r>
      <w:r w:rsidRPr="00B2071E">
        <w:rPr>
          <w:color w:val="000000" w:themeColor="text1"/>
          <w:lang w:val="es-ES"/>
        </w:rPr>
        <w:t xml:space="preserve"> Sanmartí, N. (2013). The Us</w:t>
      </w:r>
      <w:r w:rsidR="00526654">
        <w:rPr>
          <w:color w:val="000000" w:themeColor="text1"/>
          <w:lang w:val="es-ES"/>
        </w:rPr>
        <w:t>e</w:t>
      </w:r>
      <w:r w:rsidRPr="00B2071E">
        <w:rPr>
          <w:color w:val="000000" w:themeColor="text1"/>
          <w:lang w:val="es-ES"/>
        </w:rPr>
        <w:t xml:space="preserve"> of Newspaper Artícul</w:t>
      </w:r>
      <w:r w:rsidR="00526654">
        <w:rPr>
          <w:color w:val="000000" w:themeColor="text1"/>
          <w:lang w:val="es-ES"/>
        </w:rPr>
        <w:t>es</w:t>
      </w:r>
      <w:r w:rsidRPr="00B2071E">
        <w:rPr>
          <w:color w:val="000000" w:themeColor="text1"/>
          <w:lang w:val="es-ES"/>
        </w:rPr>
        <w:t xml:space="preserve"> as a Tool toDevelop Critical Thinking in Science Clases. I</w:t>
      </w:r>
      <w:r w:rsidRPr="00526654">
        <w:rPr>
          <w:i/>
          <w:color w:val="000000" w:themeColor="text1"/>
          <w:lang w:val="es-ES"/>
        </w:rPr>
        <w:t>nternational Journal of Science Education</w:t>
      </w:r>
      <w:r w:rsidRPr="00B2071E">
        <w:rPr>
          <w:color w:val="000000" w:themeColor="text1"/>
          <w:lang w:val="es-ES"/>
        </w:rPr>
        <w:t xml:space="preserve">, 35(6), 885–905. </w:t>
      </w:r>
      <w:hyperlink r:id="rId41" w:history="1">
        <w:r w:rsidR="00526654">
          <w:rPr>
            <w:rStyle w:val="Hipervnculo"/>
            <w:color w:val="000000" w:themeColor="text1"/>
            <w:lang w:val="es-ES"/>
          </w:rPr>
          <w:t xml:space="preserve">DOI: </w:t>
        </w:r>
        <w:r w:rsidR="00A76FF2" w:rsidRPr="00B2071E">
          <w:rPr>
            <w:rStyle w:val="Hipervnculo"/>
            <w:color w:val="000000" w:themeColor="text1"/>
            <w:lang w:val="es-ES"/>
          </w:rPr>
          <w:t>10. 1080/09500693.2011.586736</w:t>
        </w:r>
      </w:hyperlink>
    </w:p>
    <w:p w14:paraId="1AF0C3C4" w14:textId="77777777" w:rsidR="004E0AEC" w:rsidRPr="00F13026" w:rsidRDefault="004E0AEC" w:rsidP="004E0AEC">
      <w:pPr>
        <w:pStyle w:val="TextoNormal"/>
        <w:ind w:left="567" w:hanging="567"/>
        <w:rPr>
          <w:color w:val="000000" w:themeColor="text1"/>
          <w:lang w:val="es-ES"/>
        </w:rPr>
      </w:pPr>
      <w:r w:rsidRPr="00F13026">
        <w:rPr>
          <w:color w:val="000000" w:themeColor="text1"/>
          <w:lang w:val="es-ES"/>
        </w:rPr>
        <w:t>Oliveras, B. y Sanmartí, N. (2008). “</w:t>
      </w:r>
      <w:r w:rsidRPr="00F13026">
        <w:rPr>
          <w:i/>
          <w:color w:val="000000" w:themeColor="text1"/>
          <w:lang w:val="es-ES"/>
        </w:rPr>
        <w:t>Continúa la polémica por los bañadores de Speedo</w:t>
      </w:r>
      <w:r w:rsidRPr="00F13026">
        <w:rPr>
          <w:color w:val="000000" w:themeColor="text1"/>
          <w:lang w:val="es-ES"/>
        </w:rPr>
        <w:t xml:space="preserve">”. Leer.es. </w:t>
      </w:r>
    </w:p>
    <w:p w14:paraId="2192F6DE" w14:textId="77777777" w:rsidR="004E0AEC" w:rsidRPr="00F13026" w:rsidRDefault="004E0AEC" w:rsidP="004E0AEC">
      <w:pPr>
        <w:pStyle w:val="TextoNormal"/>
        <w:ind w:left="567" w:hanging="567"/>
        <w:rPr>
          <w:color w:val="000000" w:themeColor="text1"/>
          <w:lang w:val="es-ES"/>
        </w:rPr>
      </w:pPr>
      <w:r w:rsidRPr="00F13026">
        <w:rPr>
          <w:color w:val="000000" w:themeColor="text1"/>
          <w:lang w:val="es-ES"/>
        </w:rPr>
        <w:t>[https://leer.es/documents/235507/242734/eso4_cn_fq_banadoresspeedo_estudiantes_begonaoliveras_neussanmarti.pdf/7735c8a1-004f-42ca-95cb-464ff18134a8]</w:t>
      </w:r>
    </w:p>
    <w:p w14:paraId="1E157320"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Osborne, J. (2011). Science teaching methods: a rationale for practices. </w:t>
      </w:r>
      <w:r w:rsidRPr="00526654">
        <w:rPr>
          <w:i/>
          <w:color w:val="000000" w:themeColor="text1"/>
          <w:lang w:val="es-ES"/>
        </w:rPr>
        <w:t>School Science Review</w:t>
      </w:r>
      <w:r w:rsidRPr="00B2071E">
        <w:rPr>
          <w:color w:val="000000" w:themeColor="text1"/>
          <w:lang w:val="es-ES"/>
        </w:rPr>
        <w:t>, 93(343) 93-103</w:t>
      </w:r>
      <w:r w:rsidR="00526654">
        <w:rPr>
          <w:color w:val="000000" w:themeColor="text1"/>
          <w:lang w:val="es-ES"/>
        </w:rPr>
        <w:t xml:space="preserve">. </w:t>
      </w:r>
    </w:p>
    <w:p w14:paraId="37EE4940"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Osborne, J., Collins, S., Ratcliffe, M., Millar, R. y Duschl, R. (2003). What “Ideas-about-Science” Should Be Taught in School Science? A Delphi Study of the Expert Community. </w:t>
      </w:r>
      <w:r w:rsidRPr="00526654">
        <w:rPr>
          <w:i/>
          <w:color w:val="000000" w:themeColor="text1"/>
          <w:lang w:val="es-ES"/>
        </w:rPr>
        <w:t>Journal of Research in Science Teaching</w:t>
      </w:r>
      <w:r w:rsidRPr="00B2071E">
        <w:rPr>
          <w:color w:val="000000" w:themeColor="text1"/>
          <w:lang w:val="es-ES"/>
        </w:rPr>
        <w:t>, 40(7), 692-720.</w:t>
      </w:r>
      <w:r w:rsidR="00526654">
        <w:rPr>
          <w:color w:val="000000" w:themeColor="text1"/>
          <w:lang w:val="es-ES"/>
        </w:rPr>
        <w:t xml:space="preserve"> </w:t>
      </w:r>
      <w:hyperlink r:id="rId42" w:history="1">
        <w:r w:rsidR="00526654">
          <w:rPr>
            <w:rStyle w:val="Hipervnculo"/>
            <w:lang w:val="es-ES"/>
          </w:rPr>
          <w:t xml:space="preserve">DOI: </w:t>
        </w:r>
        <w:r w:rsidR="00526654" w:rsidRPr="00526654">
          <w:rPr>
            <w:rStyle w:val="Hipervnculo"/>
            <w:lang w:val="es-ES"/>
          </w:rPr>
          <w:t>10.1002/tea.10105</w:t>
        </w:r>
      </w:hyperlink>
    </w:p>
    <w:p w14:paraId="4B7CDFAF"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Osborne, J. (2014). Teaching Scientific Practices: Meeting the Challenge of Change. </w:t>
      </w:r>
      <w:r w:rsidRPr="00526654">
        <w:rPr>
          <w:i/>
          <w:color w:val="000000" w:themeColor="text1"/>
          <w:lang w:val="es-ES"/>
        </w:rPr>
        <w:t>Journal of Science Teacher Education</w:t>
      </w:r>
      <w:r w:rsidRPr="00B2071E">
        <w:rPr>
          <w:color w:val="000000" w:themeColor="text1"/>
          <w:lang w:val="es-ES"/>
        </w:rPr>
        <w:t>, 25(2), 177-196.</w:t>
      </w:r>
      <w:r w:rsidR="001A65B5">
        <w:rPr>
          <w:color w:val="000000" w:themeColor="text1"/>
          <w:lang w:val="es-ES"/>
        </w:rPr>
        <w:t xml:space="preserve"> </w:t>
      </w:r>
      <w:hyperlink r:id="rId43" w:history="1">
        <w:r w:rsidR="001A65B5">
          <w:rPr>
            <w:rStyle w:val="Hipervnculo"/>
            <w:lang w:val="es-ES"/>
          </w:rPr>
          <w:t xml:space="preserve">DOI: </w:t>
        </w:r>
        <w:r w:rsidR="001A65B5" w:rsidRPr="001A65B5">
          <w:rPr>
            <w:rStyle w:val="Hipervnculo"/>
            <w:lang w:val="es-ES"/>
          </w:rPr>
          <w:t>10.1007/s10972-014-9384-1</w:t>
        </w:r>
      </w:hyperlink>
    </w:p>
    <w:p w14:paraId="109E28B3" w14:textId="77777777"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Preece P. F. W. y Baxter J. H. (2000) Scepticism and gullibility: The superstitious and pseudoscientific beliefs of secondary school students. </w:t>
      </w:r>
      <w:r w:rsidRPr="001A65B5">
        <w:rPr>
          <w:i/>
          <w:color w:val="000000" w:themeColor="text1"/>
          <w:lang w:val="es-ES"/>
        </w:rPr>
        <w:t>International Journal of Science Education</w:t>
      </w:r>
      <w:r w:rsidRPr="00654E29">
        <w:rPr>
          <w:color w:val="000000" w:themeColor="text1"/>
          <w:lang w:val="es-ES"/>
        </w:rPr>
        <w:t>, 22, 1147-1156.</w:t>
      </w:r>
      <w:r w:rsidR="000B361D">
        <w:rPr>
          <w:color w:val="000000" w:themeColor="text1"/>
          <w:lang w:val="es-ES"/>
        </w:rPr>
        <w:t xml:space="preserve"> </w:t>
      </w:r>
      <w:hyperlink r:id="rId44" w:history="1">
        <w:r w:rsidR="000B361D">
          <w:rPr>
            <w:rStyle w:val="Hipervnculo"/>
            <w:lang w:val="es-ES"/>
          </w:rPr>
          <w:t xml:space="preserve">DOI: </w:t>
        </w:r>
        <w:r w:rsidR="000B361D" w:rsidRPr="000B361D">
          <w:rPr>
            <w:rStyle w:val="Hipervnculo"/>
            <w:lang w:val="es-ES"/>
          </w:rPr>
          <w:t>10.1080/09500690050166724</w:t>
        </w:r>
      </w:hyperlink>
    </w:p>
    <w:p w14:paraId="1E8C12A0" w14:textId="153304D0"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Quevedo-Ortiz, G., González-García, F., Fernández-Ferrer, G. (2019). Un estudio sobre pensamiento pseudocientífico en estudiantes de educación secundaria. </w:t>
      </w:r>
      <w:r w:rsidRPr="000B361D">
        <w:rPr>
          <w:i/>
          <w:color w:val="000000" w:themeColor="text1"/>
          <w:lang w:val="es-ES"/>
        </w:rPr>
        <w:t xml:space="preserve">Revista de didáctica </w:t>
      </w:r>
      <w:r w:rsidR="007843A3">
        <w:rPr>
          <w:i/>
          <w:color w:val="000000" w:themeColor="text1"/>
          <w:lang w:val="es-ES"/>
        </w:rPr>
        <w:t>ciencia</w:t>
      </w:r>
      <w:r w:rsidRPr="000B361D">
        <w:rPr>
          <w:i/>
          <w:color w:val="000000" w:themeColor="text1"/>
          <w:lang w:val="es-ES"/>
        </w:rPr>
        <w:t>s experimentales y sociales</w:t>
      </w:r>
      <w:r w:rsidRPr="00654E29">
        <w:rPr>
          <w:color w:val="000000" w:themeColor="text1"/>
          <w:lang w:val="es-ES"/>
        </w:rPr>
        <w:t>, 37, 147-164.</w:t>
      </w:r>
      <w:r w:rsidR="000B361D">
        <w:rPr>
          <w:color w:val="000000" w:themeColor="text1"/>
          <w:lang w:val="es-ES"/>
        </w:rPr>
        <w:t xml:space="preserve"> </w:t>
      </w:r>
      <w:hyperlink r:id="rId45" w:history="1">
        <w:r w:rsidR="000B361D">
          <w:rPr>
            <w:rStyle w:val="Hipervnculo"/>
            <w:lang w:val="es-ES"/>
          </w:rPr>
          <w:t xml:space="preserve">DOI: </w:t>
        </w:r>
        <w:r w:rsidR="000B361D" w:rsidRPr="000B361D">
          <w:rPr>
            <w:rStyle w:val="Hipervnculo"/>
            <w:lang w:val="es-ES"/>
          </w:rPr>
          <w:t>10.7203/dces.37.15339</w:t>
        </w:r>
      </w:hyperlink>
    </w:p>
    <w:p w14:paraId="7EB3556B"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Sadler, T. D. (2011). Situating Socio-scientific Issues in Classrooms as a Means of Achieving Goals of Science Education. En: Sadler, T. D. (Ed.) </w:t>
      </w:r>
      <w:r w:rsidRPr="000B361D">
        <w:rPr>
          <w:i/>
          <w:color w:val="000000" w:themeColor="text1"/>
          <w:lang w:val="es-ES"/>
        </w:rPr>
        <w:t xml:space="preserve">Socio-scientific Issues in the Classroom: Teaching, learning and research </w:t>
      </w:r>
      <w:r w:rsidRPr="00B2071E">
        <w:rPr>
          <w:color w:val="000000" w:themeColor="text1"/>
          <w:lang w:val="es-ES"/>
        </w:rPr>
        <w:t>(pp. 1-9). Netherlands: Springer.</w:t>
      </w:r>
    </w:p>
    <w:p w14:paraId="40E0ED25" w14:textId="46B8E836"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Solbes, J. y Torres, L. (2012). Análisis de las competencias de pensamiento crítico desde el aborde de las cuestiones sociocientíficas: un estudio en el ámbito universitario. </w:t>
      </w:r>
      <w:r w:rsidRPr="000B361D">
        <w:rPr>
          <w:i/>
          <w:color w:val="000000" w:themeColor="text1"/>
          <w:lang w:val="es-ES"/>
        </w:rPr>
        <w:t xml:space="preserve">Revista de didáctica de las </w:t>
      </w:r>
      <w:r w:rsidR="007843A3">
        <w:rPr>
          <w:i/>
          <w:color w:val="000000" w:themeColor="text1"/>
          <w:lang w:val="es-ES"/>
        </w:rPr>
        <w:t>ciencia</w:t>
      </w:r>
      <w:r w:rsidRPr="000B361D">
        <w:rPr>
          <w:i/>
          <w:color w:val="000000" w:themeColor="text1"/>
          <w:lang w:val="es-ES"/>
        </w:rPr>
        <w:t>s experimentales y sociales</w:t>
      </w:r>
      <w:r w:rsidRPr="00B2071E">
        <w:rPr>
          <w:color w:val="000000" w:themeColor="text1"/>
          <w:lang w:val="es-ES"/>
        </w:rPr>
        <w:t>, 26, 247-269.</w:t>
      </w:r>
      <w:r w:rsidR="000B361D">
        <w:rPr>
          <w:color w:val="000000" w:themeColor="text1"/>
          <w:lang w:val="es-ES"/>
        </w:rPr>
        <w:t xml:space="preserve"> </w:t>
      </w:r>
      <w:hyperlink r:id="rId46" w:history="1">
        <w:r w:rsidR="000B361D">
          <w:rPr>
            <w:rStyle w:val="Hipervnculo"/>
            <w:lang w:val="es-ES"/>
          </w:rPr>
          <w:t xml:space="preserve">DOI: </w:t>
        </w:r>
        <w:r w:rsidR="000B361D" w:rsidRPr="000B361D">
          <w:rPr>
            <w:rStyle w:val="Hipervnculo"/>
            <w:lang w:val="es-ES"/>
          </w:rPr>
          <w:t>10.7203/dces.26.1928</w:t>
        </w:r>
      </w:hyperlink>
    </w:p>
    <w:p w14:paraId="0FF68746" w14:textId="77777777" w:rsidR="004E0AEC" w:rsidRPr="00B2071E" w:rsidRDefault="004E0AEC" w:rsidP="004E0AEC">
      <w:pPr>
        <w:pStyle w:val="TextoNormal"/>
        <w:ind w:left="567" w:hanging="567"/>
        <w:rPr>
          <w:color w:val="000000" w:themeColor="text1"/>
          <w:lang w:val="es-ES"/>
        </w:rPr>
      </w:pPr>
      <w:r w:rsidRPr="00B2071E">
        <w:rPr>
          <w:color w:val="000000" w:themeColor="text1"/>
          <w:lang w:val="es-ES"/>
        </w:rPr>
        <w:t xml:space="preserve">Schwartz, R.S. y Lederman, N.G. (2002). «It’s the nature of the beast»: the influence of knowledge and intentions on learning and teaching nature of science. </w:t>
      </w:r>
      <w:r w:rsidRPr="000B361D">
        <w:rPr>
          <w:i/>
          <w:color w:val="000000" w:themeColor="text1"/>
          <w:lang w:val="es-ES"/>
        </w:rPr>
        <w:t>Journal of Research in Science Teaching</w:t>
      </w:r>
      <w:r w:rsidRPr="00B2071E">
        <w:rPr>
          <w:color w:val="000000" w:themeColor="text1"/>
          <w:lang w:val="es-ES"/>
        </w:rPr>
        <w:t>, 39, 205236.</w:t>
      </w:r>
      <w:r w:rsidR="000B361D">
        <w:rPr>
          <w:color w:val="000000" w:themeColor="text1"/>
          <w:lang w:val="es-ES"/>
        </w:rPr>
        <w:t xml:space="preserve"> </w:t>
      </w:r>
      <w:hyperlink r:id="rId47" w:history="1">
        <w:r w:rsidR="000B361D">
          <w:rPr>
            <w:rStyle w:val="Hipervnculo"/>
            <w:lang w:val="es-ES"/>
          </w:rPr>
          <w:t xml:space="preserve">DOI: </w:t>
        </w:r>
        <w:r w:rsidR="000B361D" w:rsidRPr="000B361D">
          <w:rPr>
            <w:rStyle w:val="Hipervnculo"/>
            <w:lang w:val="es-ES"/>
          </w:rPr>
          <w:t>10.1002/tea.10021</w:t>
        </w:r>
      </w:hyperlink>
    </w:p>
    <w:p w14:paraId="7FB0524E" w14:textId="311E21DB" w:rsidR="004E0AEC" w:rsidRPr="00654E29" w:rsidRDefault="004E0AEC" w:rsidP="004E0AEC">
      <w:pPr>
        <w:pStyle w:val="TextoNormal"/>
        <w:ind w:left="567" w:hanging="567"/>
        <w:rPr>
          <w:color w:val="000000" w:themeColor="text1"/>
          <w:lang w:val="es-ES"/>
        </w:rPr>
      </w:pPr>
      <w:r w:rsidRPr="00654E29">
        <w:rPr>
          <w:color w:val="000000" w:themeColor="text1"/>
          <w:lang w:val="es-ES"/>
        </w:rPr>
        <w:t xml:space="preserve">Uskola, A. (2016) ¿Los productos homeopáticos pueden ser considerados medicamentos? Creencias de maestras/os en formación. </w:t>
      </w:r>
      <w:r w:rsidRPr="000B361D">
        <w:rPr>
          <w:i/>
          <w:color w:val="000000" w:themeColor="text1"/>
          <w:lang w:val="es-ES"/>
        </w:rPr>
        <w:t xml:space="preserve">Revista Eureka sobre Enseñanza y Divulgación de las </w:t>
      </w:r>
      <w:r w:rsidR="007843A3">
        <w:rPr>
          <w:i/>
          <w:color w:val="000000" w:themeColor="text1"/>
          <w:lang w:val="es-ES"/>
        </w:rPr>
        <w:t>Ciencia</w:t>
      </w:r>
      <w:r w:rsidRPr="000B361D">
        <w:rPr>
          <w:i/>
          <w:color w:val="000000" w:themeColor="text1"/>
          <w:lang w:val="es-ES"/>
        </w:rPr>
        <w:t>s</w:t>
      </w:r>
      <w:r w:rsidRPr="00654E29">
        <w:rPr>
          <w:color w:val="000000" w:themeColor="text1"/>
          <w:lang w:val="es-ES"/>
        </w:rPr>
        <w:t xml:space="preserve"> 13 (3), 574-587.</w:t>
      </w:r>
      <w:r w:rsidR="000B361D">
        <w:rPr>
          <w:color w:val="000000" w:themeColor="text1"/>
          <w:lang w:val="es-ES"/>
        </w:rPr>
        <w:t xml:space="preserve"> </w:t>
      </w:r>
      <w:hyperlink r:id="rId48" w:history="1">
        <w:r w:rsidR="000B361D" w:rsidRPr="000B361D">
          <w:rPr>
            <w:rStyle w:val="Hipervnculo"/>
            <w:lang w:val="es-ES"/>
          </w:rPr>
          <w:t>DOI: 10.25267/Rev_Eureka_ensen_divulg_cienc.2016.v13.i3.05</w:t>
        </w:r>
      </w:hyperlink>
    </w:p>
    <w:p w14:paraId="2A527E49" w14:textId="77777777" w:rsidR="004E0AEC" w:rsidRPr="00F13026" w:rsidRDefault="004E0AEC" w:rsidP="004E0AEC">
      <w:pPr>
        <w:pStyle w:val="TextoNormal"/>
        <w:ind w:left="567" w:hanging="567"/>
        <w:rPr>
          <w:color w:val="000000" w:themeColor="text1"/>
          <w:lang w:val="es-ES"/>
        </w:rPr>
      </w:pPr>
      <w:r w:rsidRPr="00F13026">
        <w:rPr>
          <w:color w:val="000000" w:themeColor="text1"/>
          <w:lang w:val="es-ES"/>
        </w:rPr>
        <w:t xml:space="preserve">Vázquez, A., Manassero, M.A. (2018). El conocimiento epistémico en la evaluación de la competencia científica en PISA. </w:t>
      </w:r>
      <w:r w:rsidRPr="000B361D">
        <w:rPr>
          <w:i/>
          <w:color w:val="000000" w:themeColor="text1"/>
          <w:lang w:val="es-ES"/>
        </w:rPr>
        <w:t>Revista de Educación</w:t>
      </w:r>
      <w:r w:rsidRPr="00F13026">
        <w:rPr>
          <w:color w:val="000000" w:themeColor="text1"/>
          <w:lang w:val="es-ES"/>
        </w:rPr>
        <w:t>, 380, 103-128.</w:t>
      </w:r>
      <w:r w:rsidR="000B361D">
        <w:rPr>
          <w:color w:val="000000" w:themeColor="text1"/>
          <w:lang w:val="es-ES"/>
        </w:rPr>
        <w:t xml:space="preserve"> </w:t>
      </w:r>
      <w:hyperlink r:id="rId49" w:history="1">
        <w:r w:rsidR="000B361D" w:rsidRPr="000B361D">
          <w:rPr>
            <w:rStyle w:val="Hipervnculo"/>
            <w:lang w:val="es-ES"/>
          </w:rPr>
          <w:t>DOI: 10.4438/1988-592X-RE-2017-380-374</w:t>
        </w:r>
      </w:hyperlink>
    </w:p>
    <w:p w14:paraId="39C38B6A" w14:textId="279A2364" w:rsidR="004E0AEC" w:rsidRPr="00B2071E" w:rsidRDefault="004E0AEC" w:rsidP="004E0AEC">
      <w:pPr>
        <w:pStyle w:val="TextoNormal"/>
        <w:ind w:left="567" w:hanging="567"/>
        <w:rPr>
          <w:color w:val="000000" w:themeColor="text1"/>
          <w:lang w:val="es-ES"/>
        </w:rPr>
      </w:pPr>
      <w:r w:rsidRPr="00B2071E">
        <w:rPr>
          <w:color w:val="000000" w:themeColor="text1"/>
          <w:lang w:val="es-ES"/>
        </w:rPr>
        <w:t>Vázquez, A., Manassero, A.A., Ortiz, A. (2013). Análisis de materiales para la enseñanza de la naturaleza del conocimiento científico y tecnológico.</w:t>
      </w:r>
      <w:r w:rsidR="00043370">
        <w:rPr>
          <w:color w:val="000000" w:themeColor="text1"/>
          <w:lang w:val="es-ES"/>
        </w:rPr>
        <w:t xml:space="preserve"> </w:t>
      </w:r>
      <w:r w:rsidRPr="000B361D">
        <w:rPr>
          <w:i/>
          <w:color w:val="000000" w:themeColor="text1"/>
          <w:lang w:val="es-ES"/>
        </w:rPr>
        <w:t xml:space="preserve">Revista Electrónica de Enseñanza de las </w:t>
      </w:r>
      <w:r w:rsidR="007843A3">
        <w:rPr>
          <w:i/>
          <w:color w:val="000000" w:themeColor="text1"/>
          <w:lang w:val="es-ES"/>
        </w:rPr>
        <w:t>Ciencia</w:t>
      </w:r>
      <w:r w:rsidRPr="000B361D">
        <w:rPr>
          <w:i/>
          <w:color w:val="000000" w:themeColor="text1"/>
          <w:lang w:val="es-ES"/>
        </w:rPr>
        <w:t>s 12</w:t>
      </w:r>
      <w:r w:rsidRPr="00B2071E">
        <w:rPr>
          <w:color w:val="000000" w:themeColor="text1"/>
          <w:lang w:val="es-ES"/>
        </w:rPr>
        <w:t>, 243-268</w:t>
      </w:r>
    </w:p>
    <w:p w14:paraId="1DC833A2" w14:textId="77777777" w:rsidR="00BB767E" w:rsidRPr="00654E29" w:rsidRDefault="004E0AEC" w:rsidP="004E0AEC">
      <w:pPr>
        <w:pStyle w:val="TextoNormal"/>
        <w:ind w:left="567" w:hanging="567"/>
        <w:rPr>
          <w:color w:val="000000" w:themeColor="text1"/>
          <w:lang w:val="es-ES"/>
        </w:rPr>
      </w:pPr>
      <w:r w:rsidRPr="00654E29">
        <w:rPr>
          <w:color w:val="000000" w:themeColor="text1"/>
          <w:lang w:val="es-ES"/>
        </w:rPr>
        <w:lastRenderedPageBreak/>
        <w:t xml:space="preserve">Windschitl, M., Thompson, J. y Braaten, M. (2008). Beyond the scientific method: Model based inquiry as a new paradigm of preference for school science investigations. </w:t>
      </w:r>
      <w:r w:rsidRPr="000B361D">
        <w:rPr>
          <w:i/>
          <w:color w:val="000000" w:themeColor="text1"/>
          <w:lang w:val="es-ES"/>
        </w:rPr>
        <w:t>Science Education</w:t>
      </w:r>
      <w:r w:rsidRPr="00654E29">
        <w:rPr>
          <w:color w:val="000000" w:themeColor="text1"/>
          <w:lang w:val="es-ES"/>
        </w:rPr>
        <w:t>, 92, 941-962.</w:t>
      </w:r>
      <w:r w:rsidR="000B361D">
        <w:rPr>
          <w:color w:val="000000" w:themeColor="text1"/>
          <w:lang w:val="es-ES"/>
        </w:rPr>
        <w:t xml:space="preserve"> </w:t>
      </w:r>
      <w:hyperlink r:id="rId50" w:history="1">
        <w:r w:rsidR="000B361D">
          <w:rPr>
            <w:rStyle w:val="Hipervnculo"/>
            <w:lang w:val="es-ES"/>
          </w:rPr>
          <w:t xml:space="preserve">DOI: </w:t>
        </w:r>
        <w:r w:rsidR="000B361D" w:rsidRPr="000B361D">
          <w:rPr>
            <w:rStyle w:val="Hipervnculo"/>
            <w:lang w:val="es-ES"/>
          </w:rPr>
          <w:t>10.1002/sce.20259</w:t>
        </w:r>
      </w:hyperlink>
    </w:p>
    <w:p w14:paraId="24718454" w14:textId="77777777" w:rsidR="004E0AEC" w:rsidRPr="001C6806" w:rsidRDefault="004E0AEC" w:rsidP="00BB767E">
      <w:pPr>
        <w:pStyle w:val="TextoNormal"/>
        <w:rPr>
          <w:color w:val="FF0000"/>
          <w:lang w:val="es-ES"/>
        </w:rPr>
      </w:pPr>
    </w:p>
    <w:p w14:paraId="31EE4004" w14:textId="77777777" w:rsidR="002315C9" w:rsidRPr="001C6806" w:rsidRDefault="002315C9" w:rsidP="000156AB">
      <w:pPr>
        <w:pStyle w:val="TextoNormal"/>
        <w:rPr>
          <w:lang w:val="es-ES"/>
        </w:rPr>
      </w:pPr>
    </w:p>
    <w:p w14:paraId="1C1AA775" w14:textId="77777777" w:rsidR="002315C9" w:rsidRPr="001C6806" w:rsidRDefault="00D32905" w:rsidP="000156AB">
      <w:pPr>
        <w:pStyle w:val="TextoNormal"/>
        <w:rPr>
          <w:lang w:val="es-ES"/>
        </w:rPr>
      </w:pPr>
      <w:r w:rsidRPr="001C6806">
        <w:rPr>
          <w:noProof/>
          <w:lang w:val="es-ES" w:eastAsia="es-ES"/>
        </w:rPr>
        <mc:AlternateContent>
          <mc:Choice Requires="wps">
            <w:drawing>
              <wp:anchor distT="0" distB="0" distL="114300" distR="114300" simplePos="0" relativeHeight="251660800" behindDoc="0" locked="0" layoutInCell="1" allowOverlap="1" wp14:anchorId="51ADDD32" wp14:editId="160BB084">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490929E3" w14:textId="77777777" w:rsidR="00F356DD" w:rsidRPr="00BD2105" w:rsidRDefault="00F356DD"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7F98C7A6" w14:textId="77777777" w:rsidR="00F356DD" w:rsidRPr="00BD2105" w:rsidRDefault="00F356DD" w:rsidP="00D32905">
                            <w:pPr>
                              <w:pStyle w:val="Notaalpie"/>
                            </w:pPr>
                          </w:p>
                          <w:p w14:paraId="23302883" w14:textId="77777777" w:rsidR="00F356DD" w:rsidRPr="00BD2105" w:rsidRDefault="00F356DD"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OyvgIAACMGAAAOAAAAZHJzL2Uyb0RvYy54bWysVFlvEzEQfkfiP1h+p7sbkh5RN1VIVYRU&#10;2ooW9dnx2s0K22NsJ7vh1zP2Hj0oEqp48TH3fHOcnrVakZ1wvgZT0uIgp0QYDlVtHkr6/e7iwzEl&#10;PjBTMQVGlHQvPD1bvH932ti5mMAGVCUcQSPGzxtb0k0Idp5lnm+EZv4ArDDIlOA0C/h1D1nlWIPW&#10;tcomeX6YNeAq64AL75F63jHpItmXUvBwLaUXgaiSYmwhnS6d63hmi1M2f3DMbmreh8HeEIVmtUGn&#10;o6lzFhjZuvoPU7rmDjzIcMBBZyBlzUXKAbMp8hfZ3G6YFSkXBMfbESb//8zyq92NI3VV0gklhmks&#10;0WrLKgekEiSINgApIkiN9XOUvbUoHdpP0GKxB7pHYsy9lU7HG7MiyEe49yPEaIlwJB4Ws0l+/JES&#10;jrwinx4dzVIRskd163z4LECT+CipwxomaNnu0gcMBUUHkejNg6qri1qp9Il9I1bKkR3DijPOhQmH&#10;SV1t9VeoOjp2Tt7XHsnYIR35eCCji9SB0VJy+MyJMqTB4E9yDP2tEcz+zVVM9Jz5TRef3/v4ibhj&#10;hMrgFevS4Z9eYa9EDEmZb0JiWRHxSRfjc2CqH6l6yQpKRhWJEI5KxWtKKgxKvWxUE2nIRsUekb95&#10;G6WTRzBhVNS1Afea18dQZSc/ZN3lGtMO7brte3QN1R5b1EE36d7yixoxvGQ+3DCHo41diesqXOMh&#10;FWAdoX9RsgH36zV6lMeJQy4lDa6KkvqfW+YEJeqLwVk8KabTuFvSZzo7muDHPeWsn3LMVq8Ae7PA&#10;xWh5ekb5oIandKDvcasto1dkMcPRd0nD8FyFboHhVuRiuUxCuE0sC5fm1vJoOsIbe+euvWfO9pMU&#10;x/kKhqXC5i8GqpONmgaW2wCyTtMWAe5Q7YHHTZT6r9+acdU9/Sepx92++A0AAP//AwBQSwMEFAAG&#10;AAgAAAAhAOtS5+zcAAAABQEAAA8AAABkcnMvZG93bnJldi54bWxMj8FOwzAQRO9I/IO1SFwQdQDh&#10;tmmcCoEKqjhUtP0AN94mUeN1ZLtp+HuWExxHM5p5UyxH14kBQ2w9aXiYZCCQKm9bqjXsd6v7GYiY&#10;DFnTeUIN3xhhWV5fFSa3/kJfOGxTLbiEYm40NCn1uZSxatCZOPE9EntHH5xJLEMtbTAXLnedfMwy&#10;JZ1piRca0+Nrg9Vpe3YajvSBn+F9mJ420/0TVeu31d1mp/XtzfiyAJFwTH9h+MVndCiZ6eDPZKPo&#10;NPCRpEGBYG+uZnzjwCH1rECWhfxPX/4AAAD//wMAUEsBAi0AFAAGAAgAAAAhALaDOJL+AAAA4QEA&#10;ABMAAAAAAAAAAAAAAAAAAAAAAFtDb250ZW50X1R5cGVzXS54bWxQSwECLQAUAAYACAAAACEAOP0h&#10;/9YAAACUAQAACwAAAAAAAAAAAAAAAAAvAQAAX3JlbHMvLnJlbHNQSwECLQAUAAYACAAAACEAMV7D&#10;sr4CAAAjBgAADgAAAAAAAAAAAAAAAAAuAgAAZHJzL2Uyb0RvYy54bWxQSwECLQAUAAYACAAAACEA&#10;61Ln7NwAAAAFAQAADwAAAAAAAAAAAAAAAAAYBQAAZHJzL2Rvd25yZXYueG1sUEsFBgAAAAAEAAQA&#10;8wAAACEGAAAAAA==&#10;" fillcolor="#fde9d9 [665]" strokecolor="#974706 [1609]" strokeweight="1.5pt">
                <v:stroke dashstyle="3 1"/>
                <v:textbox>
                  <w:txbxContent>
                    <w:p w14:paraId="490929E3" w14:textId="77777777" w:rsidR="00F356DD" w:rsidRPr="00BD2105" w:rsidRDefault="00F356DD"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7F98C7A6" w14:textId="77777777" w:rsidR="00F356DD" w:rsidRPr="00BD2105" w:rsidRDefault="00F356DD" w:rsidP="00D32905">
                      <w:pPr>
                        <w:pStyle w:val="Notaalpie"/>
                      </w:pPr>
                    </w:p>
                    <w:p w14:paraId="23302883" w14:textId="77777777" w:rsidR="00F356DD" w:rsidRPr="00BD2105" w:rsidRDefault="00F356DD" w:rsidP="00D32905">
                      <w:pPr>
                        <w:pStyle w:val="TextoNormal"/>
                        <w:ind w:firstLine="0"/>
                        <w:rPr>
                          <w:sz w:val="18"/>
                        </w:rPr>
                      </w:pPr>
                    </w:p>
                  </w:txbxContent>
                </v:textbox>
                <w10:wrap anchorx="margin"/>
              </v:shape>
            </w:pict>
          </mc:Fallback>
        </mc:AlternateContent>
      </w:r>
    </w:p>
    <w:p w14:paraId="4596EA5A" w14:textId="77777777" w:rsidR="002315C9" w:rsidRPr="001C6806" w:rsidRDefault="002315C9" w:rsidP="000156AB">
      <w:pPr>
        <w:pStyle w:val="TextoNormal"/>
        <w:rPr>
          <w:lang w:val="es-ES"/>
        </w:rPr>
      </w:pPr>
    </w:p>
    <w:p w14:paraId="49A95709" w14:textId="77777777" w:rsidR="00727207" w:rsidRPr="001C6806" w:rsidRDefault="00727207" w:rsidP="000156AB">
      <w:pPr>
        <w:pStyle w:val="TextoNormal"/>
        <w:rPr>
          <w:b/>
          <w:lang w:val="es-ES"/>
        </w:rPr>
      </w:pPr>
    </w:p>
    <w:p w14:paraId="007CD408" w14:textId="77777777" w:rsidR="004E5EC5" w:rsidRPr="001C6806" w:rsidRDefault="004E5EC5" w:rsidP="000156AB">
      <w:pPr>
        <w:pStyle w:val="phmheadingnonumber"/>
        <w:spacing w:before="0" w:after="0"/>
        <w:rPr>
          <w:lang w:val="es-ES"/>
        </w:rPr>
      </w:pPr>
    </w:p>
    <w:sectPr w:rsidR="004E5EC5" w:rsidRPr="001C6806" w:rsidSect="00B47707">
      <w:headerReference w:type="default" r:id="rId51"/>
      <w:footerReference w:type="default" r:id="rId52"/>
      <w:footerReference w:type="first" r:id="rId53"/>
      <w:type w:val="continuous"/>
      <w:pgSz w:w="11899" w:h="16840" w:code="9"/>
      <w:pgMar w:top="1418" w:right="1134" w:bottom="1418" w:left="1134" w:header="720" w:footer="720" w:gutter="0"/>
      <w:cols w:space="360"/>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CC7E0A5" w15:done="0"/>
  <w15:commentEx w15:paraId="18D7889B" w15:done="0"/>
  <w15:commentEx w15:paraId="4979B83D" w15:done="0"/>
  <w15:commentEx w15:paraId="5E00F4B7" w15:done="0"/>
  <w15:commentEx w15:paraId="1B50A628" w15:done="0"/>
  <w15:commentEx w15:paraId="4839E458" w15:done="0"/>
  <w15:commentEx w15:paraId="75C062C8" w15:done="0"/>
  <w15:commentEx w15:paraId="410864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37650" w16cex:dateUtc="2021-06-03T13:37:00Z"/>
  <w16cex:commentExtensible w16cex:durableId="246375AB" w16cex:dateUtc="2021-06-03T13:37:00Z"/>
  <w16cex:commentExtensible w16cex:durableId="24637884" w16cex:dateUtc="2021-06-03T13:49:00Z"/>
  <w16cex:commentExtensible w16cex:durableId="24637AFF" w16cex:dateUtc="2021-06-03T13:59:00Z"/>
  <w16cex:commentExtensible w16cex:durableId="24637AED" w16cex:dateUtc="2021-06-03T13:59:00Z"/>
  <w16cex:commentExtensible w16cex:durableId="24637B16" w16cex:dateUtc="2021-06-03T14:00:00Z"/>
  <w16cex:commentExtensible w16cex:durableId="24637B4F" w16cex:dateUtc="2021-06-03T14:01:00Z"/>
  <w16cex:commentExtensible w16cex:durableId="24637BD0" w16cex:dateUtc="2021-06-03T1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CC7E0A5" w16cid:durableId="24637650"/>
  <w16cid:commentId w16cid:paraId="18D7889B" w16cid:durableId="246375AB"/>
  <w16cid:commentId w16cid:paraId="4979B83D" w16cid:durableId="24637884"/>
  <w16cid:commentId w16cid:paraId="5E00F4B7" w16cid:durableId="24637AFF"/>
  <w16cid:commentId w16cid:paraId="1B50A628" w16cid:durableId="24637AED"/>
  <w16cid:commentId w16cid:paraId="4839E458" w16cid:durableId="24637B16"/>
  <w16cid:commentId w16cid:paraId="75C062C8" w16cid:durableId="24637B4F"/>
  <w16cid:commentId w16cid:paraId="41086438" w16cid:durableId="24637B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AD891" w14:textId="77777777" w:rsidR="00F356DD" w:rsidRDefault="00F356DD" w:rsidP="008144CC">
      <w:r>
        <w:separator/>
      </w:r>
    </w:p>
  </w:endnote>
  <w:endnote w:type="continuationSeparator" w:id="0">
    <w:p w14:paraId="1AC08493" w14:textId="77777777" w:rsidR="00F356DD" w:rsidRDefault="00F356DD"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69C2C" w14:textId="3652AFB8" w:rsidR="00F356DD" w:rsidRPr="00D32905" w:rsidRDefault="00F356DD"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39865B1E" wp14:editId="7262632A">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83F715E"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xpiQIAABUFAAAOAAAAZHJzL2Uyb0RvYy54bWysVM1u2zAMvg/YOwi6r3a6/DRBnSJokWFA&#10;1xZrh54ZWbINyKImKXG6t9mz7MVGyU76s52GXSRSpEjx40edX+xbzXbS+QZNwUcnOWfSCCwbUxX8&#10;28P6wxlnPoApQaORBX+Snl8s37877+xCnmKNupSOURDjF50teB2CXWSZF7VswZ+glYaMCl0LgVRX&#10;ZaWDjqK3OjvN82nWoSutQyG9p9Or3siXKb5SUoRbpbwMTBec3hbS6tK6iWu2PIdF5cDWjRieAf/w&#10;ihYaQ0mPoa4gANu65o9QbSMcelThRGCboVKNkKkGqmaUv6nmvgYrUy0EjrdHmPz/CytudneONWXB&#10;Z5wZaKlFXwm0Xz9NtdXIZhGgzvoF+d3bOzdonsRY7V65Nu5UB9snUJ+OoMp9YIIOP+bjs5ygF2Q6&#10;m8xOJzFk9nzXOh8+SWxZFAruKHtCEnbXPvSuB5eYyqNuynWjdVIiTeSldmwH1GAQQpowHRK88tSG&#10;dQWfTyg9E0BEUxoCia2l0r2pOANdEYNFcCn7q8veVZtjkvVsPh1Pe6caStmnnk9yKpKeSy+E8AXL&#10;/niUH86p4iFMqv5V/FjfFfi6v5NMQw3axIgyEXmAI3ajxz9KGyyfqIEOe2Z7K9YNRbsGH+7AEZUJ&#10;eRrPcEuL0kgY4CBxVqP78bfz6E8MIytnHY0GAfR9C05ypj8b4t58NB7HWUrKmFpKintp2by0mG17&#10;idScEX0EViQx+gd9EJXD9pGmeBWzkgmMoNx9KwblMvQjS/+AkKtVcqP5sRCuzb0VMXjEKeL4sH8E&#10;ZwcyBSLhDR7GCBZvONX7xpsGV9uAqkmEe8aVWhUVmr3UtOGfiMP9Uk9ez7/Z8jcAAAD//wMAUEsD&#10;BBQABgAIAAAAIQDJyd/z3QAAAAwBAAAPAAAAZHJzL2Rvd25yZXYueG1sTE/LTsMwELwj8Q/WInFL&#10;nRba0jROhYp640KAuxtvk5R4HcXO6+9ZTvSy0mgeO5MeJtuIATtfO1KwXMQgkApnaioVfH2eohcQ&#10;PmgyunGECmb0cMju71KdGDfSBw55KAWHkE+0giqENpHSFxVa7ReuRWLu4jqrA8OulKbTI4fbRq7i&#10;eCOtrok/VLrFY4XFT95bBcduVw7hm3bhlDfv5jrjvB17pR4fprc9n9c9iIBT+HfA3wbuDxkXO7ue&#10;jBeNgmi9WrNUwdMGBPPRM8Mz67ZLkFkqb0dkvwAAAP//AwBQSwECLQAUAAYACAAAACEAtoM4kv4A&#10;AADhAQAAEwAAAAAAAAAAAAAAAAAAAAAAW0NvbnRlbnRfVHlwZXNdLnhtbFBLAQItABQABgAIAAAA&#10;IQA4/SH/1gAAAJQBAAALAAAAAAAAAAAAAAAAAC8BAABfcmVscy8ucmVsc1BLAQItABQABgAIAAAA&#10;IQBaO2xpiQIAABUFAAAOAAAAAAAAAAAAAAAAAC4CAABkcnMvZTJvRG9jLnhtbFBLAQItABQABgAI&#10;AAAAIQDJyd/z3QAAAAwBAAAPAAAAAAAAAAAAAAAAAOMEAABkcnMvZG93bnJldi54bWxQSwUGAAAA&#10;AAQABADzAAAA7QUAAAAA&#10;" fillcolor="#f79646 [3209]" strokecolor="#f69240"/>
          </w:pict>
        </mc:Fallback>
      </mc:AlternateContent>
    </w:r>
    <w:r>
      <w:rPr>
        <w:b/>
        <w:i/>
      </w:rPr>
      <w:t xml:space="preserve"> </w:t>
    </w:r>
    <w:r w:rsidRPr="002C6AEB">
      <w:rPr>
        <w:b/>
        <w:i/>
      </w:rPr>
      <w:t xml:space="preserve">Didáctica de las </w:t>
    </w:r>
    <w:r>
      <w:rPr>
        <w:b/>
        <w:i/>
      </w:rPr>
      <w:t>Ciencia</w:t>
    </w:r>
    <w:r w:rsidRPr="002C6AEB">
      <w:rPr>
        <w:b/>
        <w:i/>
      </w:rPr>
      <w:t>s Experimentales y Sociales</w:t>
    </w:r>
    <w:r w:rsidRPr="00393782">
      <w:t xml:space="preserve">, </w:t>
    </w:r>
    <w:r>
      <w:t>número, año, pp. XX-XX - ISSNe</w:t>
    </w:r>
    <w:r w:rsidRPr="00C030E4">
      <w:t>: 2255-3835</w:t>
    </w:r>
    <w:r w:rsidR="00043370">
      <w:t xml:space="preserve">                         </w:t>
    </w:r>
    <w:r w:rsidRPr="00D32905">
      <w:rPr>
        <w:b/>
        <w:color w:val="984806" w:themeColor="accent6" w:themeShade="80"/>
      </w:rPr>
      <w:fldChar w:fldCharType="begin"/>
    </w:r>
    <w:r w:rsidRPr="00D32905">
      <w:rPr>
        <w:b/>
        <w:color w:val="984806" w:themeColor="accent6" w:themeShade="80"/>
      </w:rPr>
      <w:instrText xml:space="preserve"> PAGE </w:instrText>
    </w:r>
    <w:r w:rsidRPr="00D32905">
      <w:rPr>
        <w:b/>
        <w:color w:val="984806" w:themeColor="accent6" w:themeShade="80"/>
      </w:rPr>
      <w:fldChar w:fldCharType="separate"/>
    </w:r>
    <w:r w:rsidR="0039065E">
      <w:rPr>
        <w:b/>
        <w:noProof/>
        <w:color w:val="984806" w:themeColor="accent6" w:themeShade="80"/>
      </w:rPr>
      <w:t>18</w:t>
    </w:r>
    <w:r w:rsidRPr="00D32905">
      <w:rPr>
        <w:b/>
        <w:color w:val="984806" w:themeColor="accent6" w:themeShade="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14:paraId="34259D05" w14:textId="50195D1B" w:rsidR="00F356DD" w:rsidRPr="00BB6266" w:rsidRDefault="00F356DD"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43833739" wp14:editId="1BEA4E04">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06BFADCC" wp14:editId="027B2362">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1A2937B"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YAIAALMEAAAOAAAAZHJzL2Uyb0RvYy54bWysVM1u2zAMvg/YOwi6r066JGuNOkXQosOA&#10;oi2WDj2zshQbkERNUuJ0b7Nn2YuVkp2fdTsNuyikSPMjP33MxeXWaLaRPrRoKz4+GXEmrcC6tauK&#10;f3u8+XDGWYhga9BoZcVfZOCX8/fvLjpXylNsUNfSMypiQ9m5ijcxurIogmikgXCCTloKKvQGIrl+&#10;VdQeOqpudHE6Gs2KDn3tPAoZAt1e90E+z/WVkiLeKxVkZLri1FvMp8/nczqL+QWUKw+uacXQBvxD&#10;FwZaS6D7UtcQga19+0cp0wqPAVU8EWgKVKoVMs9A04xHb6ZZNuBknoXICW5PU/h/ZcXd5sGztq74&#10;jDMLhp7oK5H266ddrTWyWSKoc6GkvKV78IMXyEzTbpU36ZfmYNtM6sueVLmNTNDlx9HkbETUCwqd&#10;TT+dTlPJ4vCt8yF+lmhYMiruCT0zCZvbEPvUXUqCCqjb+qbVOjtJJvJKe7YBemAQQtqYeyaA3zK1&#10;ZV3Fz6cEzwSQ0JSGSKZxNHqwK85Ar0jBIvqMbjFhEDyUCf0aQtNj5KrDCNqmuMwyG5pNXPXsJOsZ&#10;6xei12Ovu+DETUvVbiHEB/AkNOKFlife06E0Uoc4WJw16H/87T7l0/tTlLOOhEvtf1+Dl5zpL5aU&#10;cT6eTJLSszMhwsnxx5Hn44hdmysk6sa0pk5kM+VHvTOVR/NEO7ZIqBQCKwi7J2pwrmK/ULSlQi4W&#10;OY3U7SDe2qUTqfiOx8ftE3g3PHUkidzhTuRQvnnxPjd9aXGxjqjaLIcDrySj5NBmZEENW5xW79jP&#10;WYf/mvkrAAAA//8DAFBLAwQUAAYACAAAACEA0QdD1d4AAAAMAQAADwAAAGRycy9kb3ducmV2Lnht&#10;bExPy07DQAy8I/EPKyNxSzctpI80mwqB4EhFoD07iUkist4ou23D32NOcLE0nvF4JttNtldnGn3n&#10;2MB8FoMirlzdcWPg4/05WoPyAbnG3jEZ+CYPu/z6KsO0dhd+o3MRGiUm7FM00IYwpFr7qiWLfuYG&#10;YuE+3WgxCBwbXY94EXPb60UcL7XFjuVDiwM9tlR9FSdrQPaHeL3ZH91UrV7K10PSYZEYc3szPW1l&#10;PGxBBZrC3wX8dpD8kEuw0p249qo3ECWLRKQG7paghI/uBZaiW81B55n+XyL/AQAA//8DAFBLAQIt&#10;ABQABgAIAAAAIQC2gziS/gAAAOEBAAATAAAAAAAAAAAAAAAAAAAAAABbQ29udGVudF9UeXBlc10u&#10;eG1sUEsBAi0AFAAGAAgAAAAhADj9If/WAAAAlAEAAAsAAAAAAAAAAAAAAAAALwEAAF9yZWxzLy5y&#10;ZWxzUEsBAi0AFAAGAAgAAAAhAP4EjXBgAgAAswQAAA4AAAAAAAAAAAAAAAAALgIAAGRycy9lMm9E&#10;b2MueG1sUEsBAi0AFAAGAAgAAAAhANEHQ9XeAAAADAEAAA8AAAAAAAAAAAAAAAAAugQAAGRycy9k&#10;b3ducmV2LnhtbFBLBQYAAAAABAAEAPMAAADFBQAAAAA=&#10;" fillcolor="#f79646 [3209]" stroked="f"/>
              </w:pict>
            </mc:Fallback>
          </mc:AlternateContent>
        </w:r>
        <w:r w:rsidRPr="00620230">
          <w:rPr>
            <w:rFonts w:ascii="Times New Roman" w:hAnsi="Times New Roman"/>
            <w:sz w:val="20"/>
            <w:lang w:val="es-ES"/>
          </w:rPr>
          <w:t xml:space="preserve"> </w:t>
        </w:r>
        <w:r w:rsidRPr="00B47707">
          <w:rPr>
            <w:b/>
            <w:i/>
          </w:rPr>
          <w:t xml:space="preserve">Didáctica de las </w:t>
        </w:r>
        <w:r>
          <w:rPr>
            <w:b/>
            <w:i/>
          </w:rPr>
          <w:t>Ciencia</w:t>
        </w:r>
        <w:r w:rsidRPr="00B47707">
          <w:rPr>
            <w:b/>
            <w:i/>
          </w:rPr>
          <w:t>s Experimentales y Sociales</w:t>
        </w:r>
        <w:r w:rsidRPr="00393782">
          <w:t xml:space="preserve">, </w:t>
        </w:r>
        <w:r>
          <w:t>número, año, pp. XX-XX - ISSNe</w:t>
        </w:r>
        <w:r w:rsidRPr="00C030E4">
          <w:t>: 2255-3835</w:t>
        </w:r>
        <w:r w:rsidR="00043370">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043370" w:rsidRPr="00043370">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F7A43" w14:textId="77777777" w:rsidR="00F356DD" w:rsidRDefault="00F356DD" w:rsidP="008144CC">
      <w:r>
        <w:separator/>
      </w:r>
    </w:p>
  </w:footnote>
  <w:footnote w:type="continuationSeparator" w:id="0">
    <w:p w14:paraId="44B80298" w14:textId="77777777" w:rsidR="00F356DD" w:rsidRDefault="00F356DD" w:rsidP="00814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9E093" w14:textId="77777777" w:rsidR="00F356DD" w:rsidRPr="00894664" w:rsidRDefault="00F356DD" w:rsidP="00894664">
    <w:pPr>
      <w:pStyle w:val="Encabezado"/>
      <w:jc w:val="right"/>
      <w:rPr>
        <w:rFonts w:asciiTheme="minorHAnsi" w:hAnsiTheme="minorHAnsi"/>
        <w:i/>
        <w:sz w:val="18"/>
        <w:szCs w:val="18"/>
      </w:rPr>
    </w:pPr>
    <w:r>
      <w:rPr>
        <w:rFonts w:asciiTheme="minorHAnsi" w:hAnsiTheme="minorHAnsi"/>
        <w:b/>
        <w:i/>
        <w:sz w:val="18"/>
        <w:szCs w:val="18"/>
        <w:highlight w:val="lightGray"/>
      </w:rPr>
      <w:t>Domènech-Casal, Marbà-Tallada</w:t>
    </w:r>
    <w:r w:rsidRPr="00894664">
      <w:rPr>
        <w:rFonts w:asciiTheme="minorHAnsi" w:hAnsiTheme="minorHAnsi"/>
        <w:b/>
        <w:i/>
        <w:sz w:val="18"/>
        <w:szCs w:val="18"/>
        <w:highlight w:val="lightGray"/>
      </w:rPr>
      <w:t xml:space="preserve">, </w:t>
    </w:r>
    <w:r>
      <w:rPr>
        <w:rFonts w:asciiTheme="minorHAnsi" w:hAnsiTheme="minorHAnsi"/>
        <w:b/>
        <w:i/>
        <w:sz w:val="18"/>
        <w:szCs w:val="18"/>
      </w:rPr>
      <w:t xml:space="preserve">Dimensión epistémica de la competencia científica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F51FB0"/>
    <w:multiLevelType w:val="hybridMultilevel"/>
    <w:tmpl w:val="AAC6D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248D66F4"/>
    <w:multiLevelType w:val="multilevel"/>
    <w:tmpl w:val="3AA07FC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6CE67ECB"/>
    <w:multiLevelType w:val="multilevel"/>
    <w:tmpl w:val="BCDCE5CE"/>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5"/>
  </w:num>
  <w:num w:numId="2">
    <w:abstractNumId w:val="7"/>
  </w:num>
  <w:num w:numId="3">
    <w:abstractNumId w:val="2"/>
  </w:num>
  <w:num w:numId="4">
    <w:abstractNumId w:val="4"/>
  </w:num>
  <w:num w:numId="5">
    <w:abstractNumId w:val="1"/>
  </w:num>
  <w:num w:numId="6">
    <w:abstractNumId w:val="6"/>
  </w:num>
  <w:num w:numId="7">
    <w:abstractNumId w:val="3"/>
  </w:num>
  <w:num w:numId="8">
    <w:abstractNumId w:val="8"/>
  </w:num>
  <w:num w:numId="9">
    <w:abstractNumId w:val="0"/>
  </w:num>
  <w:num w:numId="10">
    <w:abstractNumId w:val="6"/>
  </w:num>
  <w:num w:numId="11">
    <w:abstractNumId w:val="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na Marbà Tallada">
    <w15:presenceInfo w15:providerId="AD" w15:userId="S::2060003@uab.cat::8829ba0c-32e5-4805-a75b-4092e0c0de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91"/>
    <w:rsid w:val="0000321C"/>
    <w:rsid w:val="000032E0"/>
    <w:rsid w:val="000050D2"/>
    <w:rsid w:val="0001087E"/>
    <w:rsid w:val="000156AB"/>
    <w:rsid w:val="00034CF5"/>
    <w:rsid w:val="00043370"/>
    <w:rsid w:val="000451AA"/>
    <w:rsid w:val="000536B8"/>
    <w:rsid w:val="000561F7"/>
    <w:rsid w:val="00056C35"/>
    <w:rsid w:val="00092D7B"/>
    <w:rsid w:val="0009337E"/>
    <w:rsid w:val="000962FC"/>
    <w:rsid w:val="000A139C"/>
    <w:rsid w:val="000A7728"/>
    <w:rsid w:val="000B361D"/>
    <w:rsid w:val="000B4458"/>
    <w:rsid w:val="000B45B1"/>
    <w:rsid w:val="000C0444"/>
    <w:rsid w:val="000C5181"/>
    <w:rsid w:val="000C521E"/>
    <w:rsid w:val="000C5472"/>
    <w:rsid w:val="000C55C5"/>
    <w:rsid w:val="000D0A6D"/>
    <w:rsid w:val="000D0B13"/>
    <w:rsid w:val="000D1DFE"/>
    <w:rsid w:val="000D33A0"/>
    <w:rsid w:val="000D4DA0"/>
    <w:rsid w:val="000E76EC"/>
    <w:rsid w:val="00105693"/>
    <w:rsid w:val="00105A72"/>
    <w:rsid w:val="00106C04"/>
    <w:rsid w:val="00107C6A"/>
    <w:rsid w:val="00123234"/>
    <w:rsid w:val="001261A8"/>
    <w:rsid w:val="00132E72"/>
    <w:rsid w:val="0013331D"/>
    <w:rsid w:val="001469D4"/>
    <w:rsid w:val="001503F1"/>
    <w:rsid w:val="0015748E"/>
    <w:rsid w:val="001719A1"/>
    <w:rsid w:val="00174F9A"/>
    <w:rsid w:val="00174FCF"/>
    <w:rsid w:val="00180415"/>
    <w:rsid w:val="00182773"/>
    <w:rsid w:val="0018349F"/>
    <w:rsid w:val="00184FF7"/>
    <w:rsid w:val="001860BF"/>
    <w:rsid w:val="00194098"/>
    <w:rsid w:val="001948FF"/>
    <w:rsid w:val="00196B78"/>
    <w:rsid w:val="001A4B99"/>
    <w:rsid w:val="001A65B5"/>
    <w:rsid w:val="001B14E9"/>
    <w:rsid w:val="001B5740"/>
    <w:rsid w:val="001B70CD"/>
    <w:rsid w:val="001C58FD"/>
    <w:rsid w:val="001C6806"/>
    <w:rsid w:val="001E1404"/>
    <w:rsid w:val="001F4945"/>
    <w:rsid w:val="00201404"/>
    <w:rsid w:val="002025C4"/>
    <w:rsid w:val="002074EB"/>
    <w:rsid w:val="00207F76"/>
    <w:rsid w:val="00223E18"/>
    <w:rsid w:val="002246F5"/>
    <w:rsid w:val="00224802"/>
    <w:rsid w:val="0022710B"/>
    <w:rsid w:val="002315C9"/>
    <w:rsid w:val="00247A33"/>
    <w:rsid w:val="00256DA7"/>
    <w:rsid w:val="00270A24"/>
    <w:rsid w:val="002739DE"/>
    <w:rsid w:val="00275783"/>
    <w:rsid w:val="0027768B"/>
    <w:rsid w:val="00294FCC"/>
    <w:rsid w:val="002A1DE1"/>
    <w:rsid w:val="002A21D4"/>
    <w:rsid w:val="002B0E45"/>
    <w:rsid w:val="002B6BA8"/>
    <w:rsid w:val="002B719F"/>
    <w:rsid w:val="002C2DA8"/>
    <w:rsid w:val="002C6AEB"/>
    <w:rsid w:val="002D488F"/>
    <w:rsid w:val="002D5BD3"/>
    <w:rsid w:val="003031F8"/>
    <w:rsid w:val="00320CCC"/>
    <w:rsid w:val="00346C15"/>
    <w:rsid w:val="00352B81"/>
    <w:rsid w:val="003545F1"/>
    <w:rsid w:val="003554CC"/>
    <w:rsid w:val="0035670A"/>
    <w:rsid w:val="00363B84"/>
    <w:rsid w:val="0036697D"/>
    <w:rsid w:val="00375629"/>
    <w:rsid w:val="00377240"/>
    <w:rsid w:val="00377477"/>
    <w:rsid w:val="0038019F"/>
    <w:rsid w:val="00380EA1"/>
    <w:rsid w:val="00384196"/>
    <w:rsid w:val="0039065E"/>
    <w:rsid w:val="00391C39"/>
    <w:rsid w:val="00393782"/>
    <w:rsid w:val="00393CEF"/>
    <w:rsid w:val="003A165E"/>
    <w:rsid w:val="003A1BF0"/>
    <w:rsid w:val="003B5585"/>
    <w:rsid w:val="003B56E5"/>
    <w:rsid w:val="003C1B4D"/>
    <w:rsid w:val="003D0FC8"/>
    <w:rsid w:val="003D273E"/>
    <w:rsid w:val="003E2C8E"/>
    <w:rsid w:val="003E6108"/>
    <w:rsid w:val="00426869"/>
    <w:rsid w:val="00427C47"/>
    <w:rsid w:val="004464E6"/>
    <w:rsid w:val="00451919"/>
    <w:rsid w:val="0045455A"/>
    <w:rsid w:val="00454BAB"/>
    <w:rsid w:val="0045659A"/>
    <w:rsid w:val="00457766"/>
    <w:rsid w:val="0046410B"/>
    <w:rsid w:val="00471387"/>
    <w:rsid w:val="0047187D"/>
    <w:rsid w:val="00481AE6"/>
    <w:rsid w:val="0049224D"/>
    <w:rsid w:val="00492514"/>
    <w:rsid w:val="00493BE7"/>
    <w:rsid w:val="004B2C6E"/>
    <w:rsid w:val="004B410F"/>
    <w:rsid w:val="004C0729"/>
    <w:rsid w:val="004C6342"/>
    <w:rsid w:val="004C6C58"/>
    <w:rsid w:val="004D04AB"/>
    <w:rsid w:val="004D2E97"/>
    <w:rsid w:val="004E0AEC"/>
    <w:rsid w:val="004E5EC5"/>
    <w:rsid w:val="004F319E"/>
    <w:rsid w:val="005063B8"/>
    <w:rsid w:val="005111B9"/>
    <w:rsid w:val="00521972"/>
    <w:rsid w:val="00522637"/>
    <w:rsid w:val="00522775"/>
    <w:rsid w:val="00523AE6"/>
    <w:rsid w:val="00526654"/>
    <w:rsid w:val="00532FF9"/>
    <w:rsid w:val="00537F68"/>
    <w:rsid w:val="005404EE"/>
    <w:rsid w:val="00541637"/>
    <w:rsid w:val="00541DEB"/>
    <w:rsid w:val="0054753D"/>
    <w:rsid w:val="00566D7B"/>
    <w:rsid w:val="0057149A"/>
    <w:rsid w:val="00590B80"/>
    <w:rsid w:val="005A231F"/>
    <w:rsid w:val="005B1959"/>
    <w:rsid w:val="005C56C3"/>
    <w:rsid w:val="005E41A7"/>
    <w:rsid w:val="005F1C23"/>
    <w:rsid w:val="00602395"/>
    <w:rsid w:val="006057C3"/>
    <w:rsid w:val="00620E87"/>
    <w:rsid w:val="00632BCC"/>
    <w:rsid w:val="006342F8"/>
    <w:rsid w:val="00634445"/>
    <w:rsid w:val="0064488B"/>
    <w:rsid w:val="0064653F"/>
    <w:rsid w:val="00654E29"/>
    <w:rsid w:val="00657827"/>
    <w:rsid w:val="006631C2"/>
    <w:rsid w:val="0066604D"/>
    <w:rsid w:val="00666FD2"/>
    <w:rsid w:val="00673181"/>
    <w:rsid w:val="006739AB"/>
    <w:rsid w:val="00673B7F"/>
    <w:rsid w:val="00681E15"/>
    <w:rsid w:val="0068344E"/>
    <w:rsid w:val="0068694B"/>
    <w:rsid w:val="00693373"/>
    <w:rsid w:val="006936B4"/>
    <w:rsid w:val="006957F0"/>
    <w:rsid w:val="006A1CDA"/>
    <w:rsid w:val="006C1C19"/>
    <w:rsid w:val="006C4896"/>
    <w:rsid w:val="006C4905"/>
    <w:rsid w:val="006D0797"/>
    <w:rsid w:val="006D72BC"/>
    <w:rsid w:val="006D7488"/>
    <w:rsid w:val="006E7AC9"/>
    <w:rsid w:val="00721418"/>
    <w:rsid w:val="00726D2C"/>
    <w:rsid w:val="00727207"/>
    <w:rsid w:val="00732FFE"/>
    <w:rsid w:val="0075575B"/>
    <w:rsid w:val="0076666C"/>
    <w:rsid w:val="00766D18"/>
    <w:rsid w:val="00771C3F"/>
    <w:rsid w:val="00772D1F"/>
    <w:rsid w:val="00772E5C"/>
    <w:rsid w:val="007733EE"/>
    <w:rsid w:val="00777B38"/>
    <w:rsid w:val="007843A3"/>
    <w:rsid w:val="00786571"/>
    <w:rsid w:val="0079115C"/>
    <w:rsid w:val="00791AAD"/>
    <w:rsid w:val="00792BAE"/>
    <w:rsid w:val="007A255D"/>
    <w:rsid w:val="007C0B7A"/>
    <w:rsid w:val="007C14BE"/>
    <w:rsid w:val="007C3AFA"/>
    <w:rsid w:val="007C3CAE"/>
    <w:rsid w:val="007D5E88"/>
    <w:rsid w:val="007D78A2"/>
    <w:rsid w:val="007F056C"/>
    <w:rsid w:val="00800124"/>
    <w:rsid w:val="008013F8"/>
    <w:rsid w:val="008144CC"/>
    <w:rsid w:val="00814F9F"/>
    <w:rsid w:val="00822332"/>
    <w:rsid w:val="00824004"/>
    <w:rsid w:val="00830404"/>
    <w:rsid w:val="008413C3"/>
    <w:rsid w:val="00852395"/>
    <w:rsid w:val="0085692B"/>
    <w:rsid w:val="008719B0"/>
    <w:rsid w:val="00881AAE"/>
    <w:rsid w:val="00886B8A"/>
    <w:rsid w:val="00894664"/>
    <w:rsid w:val="00897C02"/>
    <w:rsid w:val="008A7C65"/>
    <w:rsid w:val="008C2638"/>
    <w:rsid w:val="008C749C"/>
    <w:rsid w:val="008D0B4F"/>
    <w:rsid w:val="008D2783"/>
    <w:rsid w:val="008E14ED"/>
    <w:rsid w:val="008E7D1A"/>
    <w:rsid w:val="008F4A14"/>
    <w:rsid w:val="00906988"/>
    <w:rsid w:val="00911FE2"/>
    <w:rsid w:val="0091359B"/>
    <w:rsid w:val="00920B22"/>
    <w:rsid w:val="00925795"/>
    <w:rsid w:val="009262F6"/>
    <w:rsid w:val="00931CE8"/>
    <w:rsid w:val="00946429"/>
    <w:rsid w:val="00950E9D"/>
    <w:rsid w:val="00954231"/>
    <w:rsid w:val="00961056"/>
    <w:rsid w:val="009623CF"/>
    <w:rsid w:val="00965DB6"/>
    <w:rsid w:val="00970AB9"/>
    <w:rsid w:val="009726D3"/>
    <w:rsid w:val="00984D30"/>
    <w:rsid w:val="00985F5D"/>
    <w:rsid w:val="00990A92"/>
    <w:rsid w:val="009B31FE"/>
    <w:rsid w:val="009B3D50"/>
    <w:rsid w:val="009D4B13"/>
    <w:rsid w:val="009D7D9F"/>
    <w:rsid w:val="009E3A08"/>
    <w:rsid w:val="009E48FD"/>
    <w:rsid w:val="009F2109"/>
    <w:rsid w:val="009F3D79"/>
    <w:rsid w:val="009F5DD0"/>
    <w:rsid w:val="00A037C8"/>
    <w:rsid w:val="00A03C1D"/>
    <w:rsid w:val="00A044F3"/>
    <w:rsid w:val="00A051FE"/>
    <w:rsid w:val="00A063C2"/>
    <w:rsid w:val="00A13AA8"/>
    <w:rsid w:val="00A30A76"/>
    <w:rsid w:val="00A41BC7"/>
    <w:rsid w:val="00A52D8C"/>
    <w:rsid w:val="00A55D79"/>
    <w:rsid w:val="00A563F9"/>
    <w:rsid w:val="00A60983"/>
    <w:rsid w:val="00A65C7E"/>
    <w:rsid w:val="00A76FF2"/>
    <w:rsid w:val="00A91E0C"/>
    <w:rsid w:val="00A971E4"/>
    <w:rsid w:val="00AA14AA"/>
    <w:rsid w:val="00AA4E77"/>
    <w:rsid w:val="00AA75C0"/>
    <w:rsid w:val="00AB3205"/>
    <w:rsid w:val="00AC6A30"/>
    <w:rsid w:val="00AF3005"/>
    <w:rsid w:val="00AF34C6"/>
    <w:rsid w:val="00AF729B"/>
    <w:rsid w:val="00B0498D"/>
    <w:rsid w:val="00B1631C"/>
    <w:rsid w:val="00B2071E"/>
    <w:rsid w:val="00B22B2A"/>
    <w:rsid w:val="00B2344A"/>
    <w:rsid w:val="00B25F6F"/>
    <w:rsid w:val="00B3685C"/>
    <w:rsid w:val="00B444B2"/>
    <w:rsid w:val="00B45153"/>
    <w:rsid w:val="00B47707"/>
    <w:rsid w:val="00B47E0B"/>
    <w:rsid w:val="00B51423"/>
    <w:rsid w:val="00B636AC"/>
    <w:rsid w:val="00B63B50"/>
    <w:rsid w:val="00B671AB"/>
    <w:rsid w:val="00B72739"/>
    <w:rsid w:val="00B72BD7"/>
    <w:rsid w:val="00B72E70"/>
    <w:rsid w:val="00B8186E"/>
    <w:rsid w:val="00B84881"/>
    <w:rsid w:val="00B91246"/>
    <w:rsid w:val="00B951A6"/>
    <w:rsid w:val="00BA3F23"/>
    <w:rsid w:val="00BA64D1"/>
    <w:rsid w:val="00BB6266"/>
    <w:rsid w:val="00BB767E"/>
    <w:rsid w:val="00BC4282"/>
    <w:rsid w:val="00BD1545"/>
    <w:rsid w:val="00BD6216"/>
    <w:rsid w:val="00BE04D9"/>
    <w:rsid w:val="00BE2579"/>
    <w:rsid w:val="00BF5591"/>
    <w:rsid w:val="00C00F20"/>
    <w:rsid w:val="00C030E4"/>
    <w:rsid w:val="00C0322A"/>
    <w:rsid w:val="00C03A63"/>
    <w:rsid w:val="00C1223D"/>
    <w:rsid w:val="00C247D2"/>
    <w:rsid w:val="00C2726E"/>
    <w:rsid w:val="00C3192C"/>
    <w:rsid w:val="00C365A7"/>
    <w:rsid w:val="00C43E1D"/>
    <w:rsid w:val="00C43E1E"/>
    <w:rsid w:val="00C46552"/>
    <w:rsid w:val="00C54D2D"/>
    <w:rsid w:val="00C6575D"/>
    <w:rsid w:val="00C65E6F"/>
    <w:rsid w:val="00C90B10"/>
    <w:rsid w:val="00C91866"/>
    <w:rsid w:val="00C94DBB"/>
    <w:rsid w:val="00CA2719"/>
    <w:rsid w:val="00CA4586"/>
    <w:rsid w:val="00CA4C3B"/>
    <w:rsid w:val="00CB15E9"/>
    <w:rsid w:val="00CC3D17"/>
    <w:rsid w:val="00CD2142"/>
    <w:rsid w:val="00CD770C"/>
    <w:rsid w:val="00CE5109"/>
    <w:rsid w:val="00CF6121"/>
    <w:rsid w:val="00CF72C6"/>
    <w:rsid w:val="00D02547"/>
    <w:rsid w:val="00D127E1"/>
    <w:rsid w:val="00D16D06"/>
    <w:rsid w:val="00D26C5C"/>
    <w:rsid w:val="00D32905"/>
    <w:rsid w:val="00D4123A"/>
    <w:rsid w:val="00D427E2"/>
    <w:rsid w:val="00D500D6"/>
    <w:rsid w:val="00D5403B"/>
    <w:rsid w:val="00D56158"/>
    <w:rsid w:val="00D71FDF"/>
    <w:rsid w:val="00D86B63"/>
    <w:rsid w:val="00D939E1"/>
    <w:rsid w:val="00DC2201"/>
    <w:rsid w:val="00DC28E1"/>
    <w:rsid w:val="00DD7A7D"/>
    <w:rsid w:val="00DE4D49"/>
    <w:rsid w:val="00DF09D9"/>
    <w:rsid w:val="00DF3981"/>
    <w:rsid w:val="00DF53B2"/>
    <w:rsid w:val="00DF5A57"/>
    <w:rsid w:val="00E16B99"/>
    <w:rsid w:val="00E21B28"/>
    <w:rsid w:val="00E269FB"/>
    <w:rsid w:val="00E37DFA"/>
    <w:rsid w:val="00E41124"/>
    <w:rsid w:val="00E4196A"/>
    <w:rsid w:val="00E4372F"/>
    <w:rsid w:val="00E51FB9"/>
    <w:rsid w:val="00E54246"/>
    <w:rsid w:val="00E662A2"/>
    <w:rsid w:val="00E738A0"/>
    <w:rsid w:val="00E73C3F"/>
    <w:rsid w:val="00E779B1"/>
    <w:rsid w:val="00E86EEC"/>
    <w:rsid w:val="00E87439"/>
    <w:rsid w:val="00E957A4"/>
    <w:rsid w:val="00EA09AF"/>
    <w:rsid w:val="00EA1891"/>
    <w:rsid w:val="00EA2594"/>
    <w:rsid w:val="00EA4ABE"/>
    <w:rsid w:val="00EA60A4"/>
    <w:rsid w:val="00EB28AA"/>
    <w:rsid w:val="00EB781E"/>
    <w:rsid w:val="00EC1C92"/>
    <w:rsid w:val="00ED692E"/>
    <w:rsid w:val="00EE2135"/>
    <w:rsid w:val="00EF4CBC"/>
    <w:rsid w:val="00EF6365"/>
    <w:rsid w:val="00EF650E"/>
    <w:rsid w:val="00F00281"/>
    <w:rsid w:val="00F05EDD"/>
    <w:rsid w:val="00F06705"/>
    <w:rsid w:val="00F13026"/>
    <w:rsid w:val="00F140D3"/>
    <w:rsid w:val="00F251B6"/>
    <w:rsid w:val="00F31042"/>
    <w:rsid w:val="00F332DC"/>
    <w:rsid w:val="00F356DD"/>
    <w:rsid w:val="00F554DB"/>
    <w:rsid w:val="00F6384C"/>
    <w:rsid w:val="00F66262"/>
    <w:rsid w:val="00F66E70"/>
    <w:rsid w:val="00F930DF"/>
    <w:rsid w:val="00F9757F"/>
    <w:rsid w:val="00FA1407"/>
    <w:rsid w:val="00FC39F9"/>
    <w:rsid w:val="00FC6C48"/>
    <w:rsid w:val="00FE541C"/>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793C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iPriority="20"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A7C65"/>
    <w:rPr>
      <w:rFonts w:ascii="Times New Roman" w:eastAsia="Times New Roman" w:hAnsi="Times New Roman" w:cs="Times New Roman"/>
      <w:lang w:eastAsia="es-ES_tradnl"/>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pPr>
    <w:rPr>
      <w:b/>
      <w:bCs/>
      <w:smallCaps/>
    </w:rPr>
  </w:style>
  <w:style w:type="paragraph" w:customStyle="1" w:styleId="TextoNormal">
    <w:name w:val="TextoNormal"/>
    <w:basedOn w:val="phmnormal"/>
    <w:link w:val="TextoNormalCar"/>
    <w:qFormat/>
    <w:rsid w:val="001503F1"/>
    <w:pPr>
      <w:ind w:firstLine="567"/>
    </w:pPr>
    <w:rPr>
      <w:lang w:val="es-ES_tradnl"/>
    </w:rPr>
  </w:style>
  <w:style w:type="paragraph" w:customStyle="1" w:styleId="Encabezado1">
    <w:name w:val="Encabezado 1"/>
    <w:basedOn w:val="phmnormal"/>
    <w:next w:val="TextoNormal"/>
    <w:qFormat/>
    <w:rsid w:val="00EA60A4"/>
    <w:pPr>
      <w:keepNext/>
      <w:spacing w:before="240" w:after="120"/>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6"/>
      </w:numPr>
      <w:outlineLvl w:val="1"/>
    </w:pPr>
    <w:rPr>
      <w:b/>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2"/>
      </w:numPr>
      <w:spacing w:before="240" w:after="120"/>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Epgrafe">
    <w:name w:val="caption"/>
    <w:basedOn w:val="Normal"/>
    <w:next w:val="Normal"/>
    <w:uiPriority w:val="35"/>
    <w:unhideWhenUsed/>
    <w:qFormat/>
    <w:rsid w:val="00D02547"/>
    <w:rPr>
      <w:rFonts w:eastAsia="SimSu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szCs w:val="20"/>
    </w:rPr>
  </w:style>
  <w:style w:type="paragraph" w:customStyle="1" w:styleId="phmbulletlist">
    <w:name w:val="phm_bullet_list"/>
    <w:basedOn w:val="phmnormal"/>
    <w:next w:val="TextoNormal"/>
    <w:rsid w:val="00F140D3"/>
    <w:pPr>
      <w:numPr>
        <w:numId w:val="3"/>
      </w:numPr>
      <w:spacing w:after="60"/>
    </w:pPr>
  </w:style>
  <w:style w:type="paragraph" w:customStyle="1" w:styleId="phmnumberlist">
    <w:name w:val="phm_number_list"/>
    <w:basedOn w:val="phmnormal"/>
    <w:next w:val="TextoNormal"/>
    <w:rsid w:val="00954231"/>
    <w:pPr>
      <w:numPr>
        <w:numId w:val="4"/>
      </w:numPr>
      <w:spacing w:after="60"/>
    </w:pPr>
  </w:style>
  <w:style w:type="paragraph" w:customStyle="1" w:styleId="phmheading4">
    <w:name w:val="phm_heading4"/>
    <w:basedOn w:val="phmnormal"/>
    <w:next w:val="TextoNormal"/>
    <w:rsid w:val="001261A8"/>
    <w:pPr>
      <w:keepNext/>
      <w:spacing w:before="240" w:after="60"/>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grficooimagen">
    <w:name w:val="Pie de gráfico o imagen"/>
    <w:basedOn w:val="Epgrafe"/>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paragraph" w:styleId="Revisin">
    <w:name w:val="Revision"/>
    <w:hidden/>
    <w:semiHidden/>
    <w:rsid w:val="008A7C65"/>
    <w:rPr>
      <w:rFonts w:ascii="Times New Roman" w:hAnsi="Times New Roman"/>
      <w:sz w:val="20"/>
    </w:rPr>
  </w:style>
  <w:style w:type="character" w:styleId="Refdecomentario">
    <w:name w:val="annotation reference"/>
    <w:basedOn w:val="Fuentedeprrafopredeter"/>
    <w:semiHidden/>
    <w:unhideWhenUsed/>
    <w:rsid w:val="008A7C65"/>
    <w:rPr>
      <w:sz w:val="16"/>
      <w:szCs w:val="16"/>
    </w:rPr>
  </w:style>
  <w:style w:type="paragraph" w:styleId="Textocomentario">
    <w:name w:val="annotation text"/>
    <w:basedOn w:val="Normal"/>
    <w:link w:val="TextocomentarioCar"/>
    <w:semiHidden/>
    <w:unhideWhenUsed/>
    <w:rsid w:val="008A7C65"/>
    <w:rPr>
      <w:szCs w:val="20"/>
    </w:rPr>
  </w:style>
  <w:style w:type="character" w:customStyle="1" w:styleId="TextocomentarioCar">
    <w:name w:val="Texto comentario Car"/>
    <w:basedOn w:val="Fuentedeprrafopredeter"/>
    <w:link w:val="Textocomentario"/>
    <w:semiHidden/>
    <w:rsid w:val="008A7C65"/>
    <w:rPr>
      <w:rFonts w:ascii="Times New Roman" w:hAnsi="Times New Roman"/>
      <w:sz w:val="20"/>
      <w:szCs w:val="20"/>
    </w:rPr>
  </w:style>
  <w:style w:type="paragraph" w:styleId="Asuntodelcomentario">
    <w:name w:val="annotation subject"/>
    <w:basedOn w:val="Textocomentario"/>
    <w:next w:val="Textocomentario"/>
    <w:link w:val="AsuntodelcomentarioCar"/>
    <w:semiHidden/>
    <w:unhideWhenUsed/>
    <w:rsid w:val="008A7C65"/>
    <w:rPr>
      <w:b/>
      <w:bCs/>
    </w:rPr>
  </w:style>
  <w:style w:type="character" w:customStyle="1" w:styleId="AsuntodelcomentarioCar">
    <w:name w:val="Asunto del comentario Car"/>
    <w:basedOn w:val="TextocomentarioCar"/>
    <w:link w:val="Asuntodelcomentario"/>
    <w:semiHidden/>
    <w:rsid w:val="008A7C65"/>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lsdException w:name="FollowedHyperlink" w:semiHidden="0"/>
    <w:lsdException w:name="Strong" w:semiHidden="0" w:unhideWhenUsed="0"/>
    <w:lsdException w:name="Emphasis" w:semiHidden="0" w:uiPriority="20" w:unhideWhenUsed="0" w:qFormat="1"/>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8A7C65"/>
    <w:rPr>
      <w:rFonts w:ascii="Times New Roman" w:eastAsia="Times New Roman" w:hAnsi="Times New Roman" w:cs="Times New Roman"/>
      <w:lang w:eastAsia="es-ES_tradnl"/>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pPr>
    <w:rPr>
      <w:b/>
      <w:bCs/>
      <w:smallCaps/>
    </w:rPr>
  </w:style>
  <w:style w:type="paragraph" w:customStyle="1" w:styleId="TextoNormal">
    <w:name w:val="TextoNormal"/>
    <w:basedOn w:val="phmnormal"/>
    <w:link w:val="TextoNormalCar"/>
    <w:qFormat/>
    <w:rsid w:val="001503F1"/>
    <w:pPr>
      <w:ind w:firstLine="567"/>
    </w:pPr>
    <w:rPr>
      <w:lang w:val="es-ES_tradnl"/>
    </w:rPr>
  </w:style>
  <w:style w:type="paragraph" w:customStyle="1" w:styleId="Encabezado1">
    <w:name w:val="Encabezado 1"/>
    <w:basedOn w:val="phmnormal"/>
    <w:next w:val="TextoNormal"/>
    <w:qFormat/>
    <w:rsid w:val="00EA60A4"/>
    <w:pPr>
      <w:keepNext/>
      <w:spacing w:before="240" w:after="120"/>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6"/>
      </w:numPr>
      <w:outlineLvl w:val="1"/>
    </w:pPr>
    <w:rPr>
      <w:b/>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2"/>
      </w:numPr>
      <w:spacing w:before="240" w:after="120"/>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Epgrafe">
    <w:name w:val="caption"/>
    <w:basedOn w:val="Normal"/>
    <w:next w:val="Normal"/>
    <w:uiPriority w:val="35"/>
    <w:unhideWhenUsed/>
    <w:qFormat/>
    <w:rsid w:val="00D02547"/>
    <w:rPr>
      <w:rFonts w:eastAsia="SimSu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szCs w:val="20"/>
    </w:rPr>
  </w:style>
  <w:style w:type="paragraph" w:customStyle="1" w:styleId="phmbulletlist">
    <w:name w:val="phm_bullet_list"/>
    <w:basedOn w:val="phmnormal"/>
    <w:next w:val="TextoNormal"/>
    <w:rsid w:val="00F140D3"/>
    <w:pPr>
      <w:numPr>
        <w:numId w:val="3"/>
      </w:numPr>
      <w:spacing w:after="60"/>
    </w:pPr>
  </w:style>
  <w:style w:type="paragraph" w:customStyle="1" w:styleId="phmnumberlist">
    <w:name w:val="phm_number_list"/>
    <w:basedOn w:val="phmnormal"/>
    <w:next w:val="TextoNormal"/>
    <w:rsid w:val="00954231"/>
    <w:pPr>
      <w:numPr>
        <w:numId w:val="4"/>
      </w:numPr>
      <w:spacing w:after="60"/>
    </w:pPr>
  </w:style>
  <w:style w:type="paragraph" w:customStyle="1" w:styleId="phmheading4">
    <w:name w:val="phm_heading4"/>
    <w:basedOn w:val="phmnormal"/>
    <w:next w:val="TextoNormal"/>
    <w:rsid w:val="001261A8"/>
    <w:pPr>
      <w:keepNext/>
      <w:spacing w:before="240" w:after="60"/>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59"/>
    <w:rsid w:val="00EF4C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grficooimagen">
    <w:name w:val="Pie de gráfico o imagen"/>
    <w:basedOn w:val="Epgrafe"/>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paragraph" w:styleId="Revisin">
    <w:name w:val="Revision"/>
    <w:hidden/>
    <w:semiHidden/>
    <w:rsid w:val="008A7C65"/>
    <w:rPr>
      <w:rFonts w:ascii="Times New Roman" w:hAnsi="Times New Roman"/>
      <w:sz w:val="20"/>
    </w:rPr>
  </w:style>
  <w:style w:type="character" w:styleId="Refdecomentario">
    <w:name w:val="annotation reference"/>
    <w:basedOn w:val="Fuentedeprrafopredeter"/>
    <w:semiHidden/>
    <w:unhideWhenUsed/>
    <w:rsid w:val="008A7C65"/>
    <w:rPr>
      <w:sz w:val="16"/>
      <w:szCs w:val="16"/>
    </w:rPr>
  </w:style>
  <w:style w:type="paragraph" w:styleId="Textocomentario">
    <w:name w:val="annotation text"/>
    <w:basedOn w:val="Normal"/>
    <w:link w:val="TextocomentarioCar"/>
    <w:semiHidden/>
    <w:unhideWhenUsed/>
    <w:rsid w:val="008A7C65"/>
    <w:rPr>
      <w:szCs w:val="20"/>
    </w:rPr>
  </w:style>
  <w:style w:type="character" w:customStyle="1" w:styleId="TextocomentarioCar">
    <w:name w:val="Texto comentario Car"/>
    <w:basedOn w:val="Fuentedeprrafopredeter"/>
    <w:link w:val="Textocomentario"/>
    <w:semiHidden/>
    <w:rsid w:val="008A7C65"/>
    <w:rPr>
      <w:rFonts w:ascii="Times New Roman" w:hAnsi="Times New Roman"/>
      <w:sz w:val="20"/>
      <w:szCs w:val="20"/>
    </w:rPr>
  </w:style>
  <w:style w:type="paragraph" w:styleId="Asuntodelcomentario">
    <w:name w:val="annotation subject"/>
    <w:basedOn w:val="Textocomentario"/>
    <w:next w:val="Textocomentario"/>
    <w:link w:val="AsuntodelcomentarioCar"/>
    <w:semiHidden/>
    <w:unhideWhenUsed/>
    <w:rsid w:val="008A7C65"/>
    <w:rPr>
      <w:b/>
      <w:bCs/>
    </w:rPr>
  </w:style>
  <w:style w:type="character" w:customStyle="1" w:styleId="AsuntodelcomentarioCar">
    <w:name w:val="Asunto del comentario Car"/>
    <w:basedOn w:val="TextocomentarioCar"/>
    <w:link w:val="Asuntodelcomentario"/>
    <w:semiHidden/>
    <w:rsid w:val="008A7C65"/>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778460">
      <w:bodyDiv w:val="1"/>
      <w:marLeft w:val="0"/>
      <w:marRight w:val="0"/>
      <w:marTop w:val="0"/>
      <w:marBottom w:val="0"/>
      <w:divBdr>
        <w:top w:val="none" w:sz="0" w:space="0" w:color="auto"/>
        <w:left w:val="none" w:sz="0" w:space="0" w:color="auto"/>
        <w:bottom w:val="none" w:sz="0" w:space="0" w:color="auto"/>
        <w:right w:val="none" w:sz="0" w:space="0" w:color="auto"/>
      </w:divBdr>
    </w:div>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dx.doi.org/10.25267/Rev_Eureka_ensen_divulg_cienc.2016.v13.i2.13" TargetMode="External"/><Relationship Id="rId26" Type="http://schemas.openxmlformats.org/officeDocument/2006/relationships/hyperlink" Target="http://dx.doi.org/10.25267/Rev_Eureka_ensen_divulg_cienc.2012.v9.i1.04" TargetMode="External"/><Relationship Id="rId39" Type="http://schemas.openxmlformats.org/officeDocument/2006/relationships/hyperlink" Target="https://doi.org/10.1007/s11191-016-9860-4" TargetMode="External"/><Relationship Id="rId21" Type="http://schemas.openxmlformats.org/officeDocument/2006/relationships/hyperlink" Target="https://doi.org/10.1080/10508406.2017.1392968" TargetMode="External"/><Relationship Id="rId34" Type="http://schemas.openxmlformats.org/officeDocument/2006/relationships/hyperlink" Target="DOI:%2010.1023/A:1007880010975" TargetMode="External"/><Relationship Id="rId42" Type="http://schemas.openxmlformats.org/officeDocument/2006/relationships/hyperlink" Target="https://doi.org/10.1002/tea.10105" TargetMode="External"/><Relationship Id="rId47" Type="http://schemas.openxmlformats.org/officeDocument/2006/relationships/hyperlink" Target="https://doi.org/10.1002/tea.10021" TargetMode="External"/><Relationship Id="rId50" Type="http://schemas.openxmlformats.org/officeDocument/2006/relationships/hyperlink" Target="https://doi.org/10.1002/sce.20259"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dx.doi.org/10.25267/Rev_Eureka_ensen_divulg_cienc.2008.v5.i2.02http:/www.apac-eureka.org/revista" TargetMode="External"/><Relationship Id="rId25" Type="http://schemas.openxmlformats.org/officeDocument/2006/relationships/hyperlink" Target="https://doi.org/10.1080/00461520.2011.587722" TargetMode="External"/><Relationship Id="rId33" Type="http://schemas.openxmlformats.org/officeDocument/2006/relationships/hyperlink" Target="DOI:%2010.25267/Rev_Eureka_ensen_divulg_cienc.2021.v18.i1.1108" TargetMode="External"/><Relationship Id="rId38" Type="http://schemas.openxmlformats.org/officeDocument/2006/relationships/hyperlink" Target="https://doi.org/10.7203/dces.39.17766" TargetMode="External"/><Relationship Id="rId46" Type="http://schemas.openxmlformats.org/officeDocument/2006/relationships/hyperlink" Target="https://doi.org/10.7203/dces.26.1928" TargetMode="Externa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07/s11191-007-9086-6" TargetMode="External"/><Relationship Id="rId29" Type="http://schemas.openxmlformats.org/officeDocument/2006/relationships/hyperlink" Target="https://doi.org/10.3102/0091732X07309371" TargetMode="External"/><Relationship Id="rId41" Type="http://schemas.openxmlformats.org/officeDocument/2006/relationships/hyperlink" Target="https://doi.org/10.%201080/09500693.2011.58673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hdl.handle.net/11441/59927" TargetMode="External"/><Relationship Id="rId32" Type="http://schemas.openxmlformats.org/officeDocument/2006/relationships/hyperlink" Target="DOI:%2010.5565/rev/ec/v30n1.442" TargetMode="External"/><Relationship Id="rId37" Type="http://schemas.openxmlformats.org/officeDocument/2006/relationships/hyperlink" Target="https://doi.org/10.1002/sce.21251" TargetMode="External"/><Relationship Id="rId40" Type="http://schemas.openxmlformats.org/officeDocument/2006/relationships/hyperlink" Target="https://doi.org/10.25267/Rev_Eureka_ensen_divulg_cienc.2018.v15.i3.3105" TargetMode="External"/><Relationship Id="rId45" Type="http://schemas.openxmlformats.org/officeDocument/2006/relationships/hyperlink" Target="https://doi.org/10.7203/dces.37.15339"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dx.doi.org/10.1016/S0187-893X(18)30020-X" TargetMode="External"/><Relationship Id="rId28" Type="http://schemas.openxmlformats.org/officeDocument/2006/relationships/hyperlink" Target="https://doi.org/10.17979/arec.2019.3.2.4930" TargetMode="External"/><Relationship Id="rId36" Type="http://schemas.openxmlformats.org/officeDocument/2006/relationships/hyperlink" Target="http://dx.doi.org/10.5565/rev/ensciencias.2608" TargetMode="External"/><Relationship Id="rId49" Type="http://schemas.openxmlformats.org/officeDocument/2006/relationships/hyperlink" Target="DOI:%2010.4438/1988-592X-RE-2017-380-374" TargetMode="External"/><Relationship Id="rId61"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yperlink" Target="https://doi.org/10.1016/S0187-893X(17)30151-9" TargetMode="External"/><Relationship Id="rId31" Type="http://schemas.openxmlformats.org/officeDocument/2006/relationships/hyperlink" Target="DOI:%2010.25267/Rev_Eureka_ensen_divulg_cienc.2017.v14.i1.04" TargetMode="External"/><Relationship Id="rId44" Type="http://schemas.openxmlformats.org/officeDocument/2006/relationships/hyperlink" Target="https://doi.org/10.1080/09500690050166724" TargetMode="External"/><Relationship Id="rId52" Type="http://schemas.openxmlformats.org/officeDocument/2006/relationships/footer" Target="footer1.xml"/><Relationship Id="rId60"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02/tea.21257" TargetMode="External"/><Relationship Id="rId27" Type="http://schemas.openxmlformats.org/officeDocument/2006/relationships/hyperlink" Target="http://dx.doi.org/10.12795/IE.2017.i90.04" TargetMode="External"/><Relationship Id="rId30" Type="http://schemas.openxmlformats.org/officeDocument/2006/relationships/hyperlink" Target="https://doi.org/10.1007/s11191-012-9539-4" TargetMode="External"/><Relationship Id="rId35" Type="http://schemas.openxmlformats.org/officeDocument/2006/relationships/hyperlink" Target="DOI:%2010.3102/00346543067001088" TargetMode="External"/><Relationship Id="rId43" Type="http://schemas.openxmlformats.org/officeDocument/2006/relationships/hyperlink" Target="https://doi.org/10.1007/s10972-014-9384-1" TargetMode="External"/><Relationship Id="rId48" Type="http://schemas.openxmlformats.org/officeDocument/2006/relationships/hyperlink" Target="DOI:%2010.25267/Rev_Eureka_ensen_divulg_cienc.2016.v13.i3.05" TargetMode="External"/><Relationship Id="rId56"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nc-nd/3.0/deed.es_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i\Downloads\PlantillaD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F94F4-92DD-40CA-83D6-7A83289A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PlantillaDef.dotx</Template>
  <TotalTime>1</TotalTime>
  <Pages>18</Pages>
  <Words>8245</Words>
  <Characters>45349</Characters>
  <Application>Microsoft Office Word</Application>
  <DocSecurity>0</DocSecurity>
  <Lines>377</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53488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jORDI dOMÈNECH</dc:creator>
  <cp:lastModifiedBy>jORDI dOMÈNECH</cp:lastModifiedBy>
  <cp:revision>2</cp:revision>
  <cp:lastPrinted>2012-01-20T17:48:00Z</cp:lastPrinted>
  <dcterms:created xsi:type="dcterms:W3CDTF">2021-06-15T17:22:00Z</dcterms:created>
  <dcterms:modified xsi:type="dcterms:W3CDTF">2021-06-15T17:22:00Z</dcterms:modified>
</cp:coreProperties>
</file>