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87D" w:rsidRPr="0047187D" w:rsidRDefault="00541DEB" w:rsidP="004D2E97">
      <w:pPr>
        <w:pStyle w:val="TtuloEspaol"/>
      </w:pPr>
      <w:r>
        <w:rPr>
          <w:lang w:val="es-ES" w:eastAsia="es-ES"/>
        </w:rPr>
        <w:drawing>
          <wp:anchor distT="0" distB="0" distL="114300" distR="114300" simplePos="0" relativeHeight="251664896" behindDoc="0" locked="0" layoutInCell="1" allowOverlap="1" wp14:anchorId="677853CF" wp14:editId="0E342BCE">
            <wp:simplePos x="0" y="0"/>
            <wp:positionH relativeFrom="column">
              <wp:posOffset>57785</wp:posOffset>
            </wp:positionH>
            <wp:positionV relativeFrom="paragraph">
              <wp:posOffset>63500</wp:posOffset>
            </wp:positionV>
            <wp:extent cx="1276350" cy="1694815"/>
            <wp:effectExtent l="38100" t="57150" r="0" b="153035"/>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l="33902" t="15804" r="32514" b="4897"/>
                    <a:stretch/>
                  </pic:blipFill>
                  <pic:spPr bwMode="auto">
                    <a:xfrm>
                      <a:off x="0" y="0"/>
                      <a:ext cx="1276350" cy="1694815"/>
                    </a:xfrm>
                    <a:prstGeom prst="rect">
                      <a:avLst/>
                    </a:prstGeom>
                    <a:ln>
                      <a:noFill/>
                    </a:ln>
                    <a:effectLst>
                      <a:outerShdw blurRad="50800" dist="38100" dir="8100000" algn="tr" rotWithShape="0">
                        <a:prstClr val="black">
                          <a:alpha val="40000"/>
                        </a:prstClr>
                      </a:outerShdw>
                    </a:effectLst>
                    <a:scene3d>
                      <a:camera prst="perspectiveContrastingLeftFacing">
                        <a:rot lat="300000" lon="19800000" rev="0"/>
                      </a:camera>
                      <a:lightRig rig="threePt" dir="t">
                        <a:rot lat="0" lon="0" rev="2700000"/>
                      </a:lightRig>
                    </a:scene3d>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91F43">
        <w:t>Desarrollo de la competencia científica mediante indagación guiada en estudiantes de Educación Secundaria</w:t>
      </w:r>
    </w:p>
    <w:p w:rsidR="00CB15E9" w:rsidRPr="00541DEB" w:rsidRDefault="00A91F43" w:rsidP="00B72739">
      <w:pPr>
        <w:pStyle w:val="Titulo-Ingls"/>
        <w:rPr>
          <w:lang w:val="es-ES"/>
        </w:rPr>
      </w:pPr>
      <w:r>
        <w:rPr>
          <w:lang w:val="es-ES"/>
        </w:rPr>
        <w:t xml:space="preserve">Development of </w:t>
      </w:r>
      <w:r w:rsidR="000536B8" w:rsidRPr="00541DEB">
        <w:rPr>
          <w:lang w:val="es-ES"/>
        </w:rPr>
        <w:t>s</w:t>
      </w:r>
      <w:r>
        <w:rPr>
          <w:lang w:val="es-ES"/>
        </w:rPr>
        <w:t>cientific competence through guided inquiry in High School student</w:t>
      </w:r>
      <w:r w:rsidR="00410BB7">
        <w:rPr>
          <w:lang w:val="es-ES"/>
        </w:rPr>
        <w:t>s</w:t>
      </w:r>
    </w:p>
    <w:p w:rsidR="00C91866" w:rsidRDefault="00C91866" w:rsidP="00375629">
      <w:pPr>
        <w:pStyle w:val="DOI"/>
        <w:rPr>
          <w:b/>
          <w:shd w:val="clear" w:color="auto" w:fill="FFFFFF"/>
        </w:rPr>
      </w:pPr>
      <w:r w:rsidRPr="008E14ED">
        <w:rPr>
          <w:highlight w:val="lightGray"/>
        </w:rPr>
        <w:t>DOI:</w:t>
      </w:r>
      <w:r w:rsidR="008E14ED" w:rsidRPr="008E14ED">
        <w:rPr>
          <w:highlight w:val="lightGray"/>
        </w:rPr>
        <w:t xml:space="preserve"> </w:t>
      </w:r>
      <w:r w:rsidR="008E14ED" w:rsidRPr="008E14ED">
        <w:rPr>
          <w:highlight w:val="lightGray"/>
          <w:shd w:val="clear" w:color="auto" w:fill="FFFFFF"/>
        </w:rPr>
        <w:t>10.7203/DCES.XX.XXXXX</w:t>
      </w:r>
    </w:p>
    <w:p w:rsidR="008E14ED" w:rsidRPr="001469D4" w:rsidRDefault="008E14ED" w:rsidP="00375629">
      <w:pPr>
        <w:pStyle w:val="Indicador2"/>
        <w:rPr>
          <w:b/>
        </w:rPr>
      </w:pPr>
    </w:p>
    <w:p w:rsidR="007C4B72" w:rsidRDefault="007C4B72" w:rsidP="007C4B72">
      <w:pPr>
        <w:pStyle w:val="Autores"/>
      </w:pPr>
      <w:r>
        <w:t>Daniel Albertos Gómez</w:t>
      </w:r>
    </w:p>
    <w:p w:rsidR="007C4B72" w:rsidRDefault="007C4B72" w:rsidP="007C4B72">
      <w:pPr>
        <w:pStyle w:val="CentrodeInvestigacin"/>
      </w:pPr>
      <w:r>
        <w:t xml:space="preserve">IES Carpe Diem de Fuenlabrada, </w:t>
      </w:r>
      <w:hyperlink r:id="rId9" w:history="1">
        <w:r w:rsidRPr="00612374">
          <w:rPr>
            <w:rStyle w:val="Hipervnculo"/>
          </w:rPr>
          <w:t>dalbertos@educa.madrid.org</w:t>
        </w:r>
      </w:hyperlink>
    </w:p>
    <w:p w:rsidR="007C4B72" w:rsidRDefault="007C4B72" w:rsidP="007C4B72">
      <w:pPr>
        <w:pStyle w:val="CentrodeInvestigacin"/>
      </w:pPr>
      <w:r>
        <w:t xml:space="preserve">ORCID: </w:t>
      </w:r>
      <w:hyperlink r:id="rId10" w:history="1">
        <w:r w:rsidRPr="000064BA">
          <w:rPr>
            <w:rStyle w:val="Hipervnculo"/>
          </w:rPr>
          <w:t>https://orcid.org/0000-0001-6049-7766</w:t>
        </w:r>
      </w:hyperlink>
    </w:p>
    <w:p w:rsidR="004C6342" w:rsidRPr="004C6342" w:rsidRDefault="004C6342" w:rsidP="007C4B72">
      <w:pPr>
        <w:pStyle w:val="Indicador2"/>
        <w:jc w:val="center"/>
      </w:pPr>
    </w:p>
    <w:p w:rsidR="003823C9" w:rsidRPr="00C06999" w:rsidRDefault="003823C9" w:rsidP="003823C9">
      <w:pPr>
        <w:ind w:left="851" w:firstLine="283"/>
        <w:rPr>
          <w:rFonts w:cs="Times New Roman"/>
          <w:sz w:val="24"/>
        </w:rPr>
      </w:pPr>
      <w:r w:rsidRPr="00C06999">
        <w:rPr>
          <w:rFonts w:cs="Times New Roman"/>
          <w:b/>
          <w:sz w:val="24"/>
        </w:rPr>
        <w:t>RESUMEN</w:t>
      </w:r>
      <w:r w:rsidR="00277B65" w:rsidRPr="00C06999">
        <w:rPr>
          <w:rFonts w:cs="Times New Roman"/>
          <w:sz w:val="24"/>
        </w:rPr>
        <w:t xml:space="preserve"> </w:t>
      </w:r>
      <w:r w:rsidR="004C6342" w:rsidRPr="00C06999">
        <w:rPr>
          <w:rFonts w:cs="Times New Roman"/>
          <w:sz w:val="24"/>
        </w:rPr>
        <w:t xml:space="preserve">: </w:t>
      </w:r>
      <w:r w:rsidR="0062314B" w:rsidRPr="00C06999">
        <w:rPr>
          <w:rFonts w:cs="Times New Roman"/>
          <w:sz w:val="24"/>
        </w:rPr>
        <w:t>Esta investigación tiene dos objetivos</w:t>
      </w:r>
      <w:r w:rsidR="00A7482F" w:rsidRPr="00C06999">
        <w:rPr>
          <w:rFonts w:cs="Times New Roman"/>
          <w:sz w:val="24"/>
        </w:rPr>
        <w:t xml:space="preserve">; </w:t>
      </w:r>
      <w:r w:rsidR="0062314B" w:rsidRPr="00C06999">
        <w:rPr>
          <w:rFonts w:cs="Times New Roman"/>
          <w:sz w:val="24"/>
        </w:rPr>
        <w:t>aportar evidencia acerca de la eficacia de la metodología</w:t>
      </w:r>
      <w:r w:rsidRPr="00C06999">
        <w:rPr>
          <w:rFonts w:cs="Times New Roman"/>
          <w:b/>
          <w:smallCaps/>
          <w:sz w:val="24"/>
        </w:rPr>
        <w:t xml:space="preserve"> </w:t>
      </w:r>
      <w:r w:rsidRPr="00C06999">
        <w:rPr>
          <w:rFonts w:cs="Times New Roman"/>
          <w:sz w:val="24"/>
        </w:rPr>
        <w:t xml:space="preserve">Inquirid Based Science Education (IBSE) para desarrollar </w:t>
      </w:r>
      <w:r w:rsidR="00A7482F" w:rsidRPr="00C06999">
        <w:rPr>
          <w:rFonts w:cs="Times New Roman"/>
          <w:sz w:val="24"/>
        </w:rPr>
        <w:t xml:space="preserve">la competencia científica de </w:t>
      </w:r>
      <w:r w:rsidRPr="00C06999">
        <w:rPr>
          <w:rFonts w:cs="Times New Roman"/>
          <w:sz w:val="24"/>
        </w:rPr>
        <w:t>estudiantes</w:t>
      </w:r>
      <w:r w:rsidR="00A7482F" w:rsidRPr="00C06999">
        <w:rPr>
          <w:rFonts w:cs="Times New Roman"/>
          <w:sz w:val="24"/>
        </w:rPr>
        <w:t xml:space="preserve"> de 12-13 años; </w:t>
      </w:r>
      <w:r w:rsidRPr="00C06999">
        <w:rPr>
          <w:rFonts w:cs="Times New Roman"/>
          <w:sz w:val="24"/>
        </w:rPr>
        <w:t xml:space="preserve">y establecer una manera fiable de evaluar dicho proceso de aprendizaje, mediante un test diseñado ad-hoc.  </w:t>
      </w:r>
      <w:r w:rsidR="00A7482F" w:rsidRPr="00C06999">
        <w:rPr>
          <w:rFonts w:cs="Times New Roman"/>
          <w:sz w:val="24"/>
        </w:rPr>
        <w:t>S</w:t>
      </w:r>
      <w:r w:rsidRPr="00C06999">
        <w:rPr>
          <w:rFonts w:cs="Times New Roman"/>
          <w:sz w:val="24"/>
        </w:rPr>
        <w:t xml:space="preserve">e empleó </w:t>
      </w:r>
      <w:proofErr w:type="gramStart"/>
      <w:r w:rsidRPr="00C06999">
        <w:rPr>
          <w:rFonts w:cs="Times New Roman"/>
          <w:sz w:val="24"/>
        </w:rPr>
        <w:t>un</w:t>
      </w:r>
      <w:proofErr w:type="gramEnd"/>
      <w:r w:rsidRPr="00C06999">
        <w:rPr>
          <w:rFonts w:cs="Times New Roman"/>
          <w:sz w:val="24"/>
        </w:rPr>
        <w:t xml:space="preserve"> diseño cuasi-experiment</w:t>
      </w:r>
      <w:r w:rsidR="00A7482F" w:rsidRPr="00C06999">
        <w:rPr>
          <w:rFonts w:cs="Times New Roman"/>
          <w:sz w:val="24"/>
        </w:rPr>
        <w:t xml:space="preserve">al, con tres grupos </w:t>
      </w:r>
      <w:r w:rsidRPr="00C06999">
        <w:rPr>
          <w:rFonts w:cs="Times New Roman"/>
          <w:sz w:val="24"/>
        </w:rPr>
        <w:t>que realizaron un test con medidas antes y después del tratamiento. Dicho test obtuvo un valor de fiabilidad de 0</w:t>
      </w:r>
      <w:proofErr w:type="gramStart"/>
      <w:r w:rsidRPr="00C06999">
        <w:rPr>
          <w:rFonts w:cs="Times New Roman"/>
          <w:sz w:val="24"/>
        </w:rPr>
        <w:t>,75</w:t>
      </w:r>
      <w:proofErr w:type="gramEnd"/>
      <w:r w:rsidRPr="00C06999">
        <w:rPr>
          <w:rFonts w:cs="Times New Roman"/>
          <w:sz w:val="24"/>
        </w:rPr>
        <w:t xml:space="preserve"> en el estadístico alfa de Cronbach. El análisis de la varianza realizado mostró que el grupo que recibió el tratamiento mejoró su rendimiento en competencia científica de manera significativa con respecto a los grupos que siguieron </w:t>
      </w:r>
      <w:proofErr w:type="gramStart"/>
      <w:r w:rsidRPr="00C06999">
        <w:rPr>
          <w:rFonts w:cs="Times New Roman"/>
          <w:sz w:val="24"/>
        </w:rPr>
        <w:t>un</w:t>
      </w:r>
      <w:proofErr w:type="gramEnd"/>
      <w:r w:rsidRPr="00C06999">
        <w:rPr>
          <w:rFonts w:cs="Times New Roman"/>
          <w:sz w:val="24"/>
        </w:rPr>
        <w:t xml:space="preserve"> tratamiento de enseñanza expositiva. Igualmente, se observó que el tamaño del efecto fue muy alto (d = 1</w:t>
      </w:r>
      <w:proofErr w:type="gramStart"/>
      <w:r w:rsidRPr="00C06999">
        <w:rPr>
          <w:rFonts w:cs="Times New Roman"/>
          <w:sz w:val="24"/>
        </w:rPr>
        <w:t>,2</w:t>
      </w:r>
      <w:proofErr w:type="gramEnd"/>
      <w:r w:rsidRPr="00C06999">
        <w:rPr>
          <w:rFonts w:cs="Times New Roman"/>
          <w:sz w:val="24"/>
        </w:rPr>
        <w:t xml:space="preserve">). El test se ha comportado </w:t>
      </w:r>
      <w:proofErr w:type="gramStart"/>
      <w:r w:rsidRPr="00C06999">
        <w:rPr>
          <w:rFonts w:cs="Times New Roman"/>
          <w:sz w:val="24"/>
        </w:rPr>
        <w:t>como</w:t>
      </w:r>
      <w:proofErr w:type="gramEnd"/>
      <w:r w:rsidRPr="00C06999">
        <w:rPr>
          <w:rFonts w:cs="Times New Roman"/>
          <w:sz w:val="24"/>
        </w:rPr>
        <w:t xml:space="preserve"> una herramienta útil en la evaluación cuantitativa de habilidades científicas en estudiantes de</w:t>
      </w:r>
      <w:r w:rsidR="00A7482F" w:rsidRPr="00C06999">
        <w:rPr>
          <w:rFonts w:cs="Times New Roman"/>
          <w:sz w:val="24"/>
        </w:rPr>
        <w:t xml:space="preserve"> 1º de ESO</w:t>
      </w:r>
      <w:r w:rsidRPr="00C06999">
        <w:rPr>
          <w:rFonts w:cs="Times New Roman"/>
          <w:sz w:val="24"/>
        </w:rPr>
        <w:t>.</w:t>
      </w:r>
    </w:p>
    <w:p w:rsidR="00393782" w:rsidRPr="00B47E0B" w:rsidRDefault="00393782" w:rsidP="0062314B">
      <w:pPr>
        <w:pStyle w:val="TtulosResumenAbstrac"/>
      </w:pPr>
    </w:p>
    <w:p w:rsidR="001469D4" w:rsidRPr="00375629" w:rsidRDefault="001469D4" w:rsidP="00375629">
      <w:pPr>
        <w:pStyle w:val="Indicador3"/>
      </w:pPr>
    </w:p>
    <w:p w:rsidR="00393782" w:rsidRDefault="00393782" w:rsidP="00B47E0B">
      <w:pPr>
        <w:pStyle w:val="TtulosResumenAbstrac"/>
      </w:pPr>
      <w:r w:rsidRPr="00C06999">
        <w:rPr>
          <w:rFonts w:cs="Times New Roman"/>
        </w:rPr>
        <w:t xml:space="preserve">Palabras clave: </w:t>
      </w:r>
      <w:r w:rsidR="000536B8" w:rsidRPr="00C06999">
        <w:rPr>
          <w:rFonts w:cs="Times New Roman"/>
          <w:b w:val="0"/>
          <w:smallCaps w:val="0"/>
        </w:rPr>
        <w:t>c</w:t>
      </w:r>
      <w:r w:rsidR="00277B65" w:rsidRPr="00C06999">
        <w:rPr>
          <w:rFonts w:cs="Times New Roman"/>
          <w:b w:val="0"/>
          <w:smallCaps w:val="0"/>
        </w:rPr>
        <w:t>ompetencia científica, indagación guiada, diseño cuasi-experimental</w:t>
      </w:r>
      <w:r w:rsidR="000536B8" w:rsidRPr="009240E3">
        <w:rPr>
          <w:rFonts w:ascii="Garamond" w:hAnsi="Garamond"/>
          <w:b w:val="0"/>
          <w:smallCaps w:val="0"/>
        </w:rPr>
        <w:t>.</w:t>
      </w:r>
      <w:r w:rsidR="000536B8">
        <w:t xml:space="preserve"> </w:t>
      </w:r>
    </w:p>
    <w:p w:rsidR="001469D4" w:rsidRPr="00541DEB" w:rsidRDefault="001469D4" w:rsidP="007C3AFA">
      <w:pPr>
        <w:pStyle w:val="Indicador2"/>
        <w:rPr>
          <w:b/>
          <w:lang w:val="en-US"/>
        </w:rPr>
      </w:pPr>
    </w:p>
    <w:p w:rsidR="009240E3" w:rsidRPr="009240E3" w:rsidRDefault="009240E3" w:rsidP="009240E3">
      <w:pPr>
        <w:shd w:val="clear" w:color="auto" w:fill="F8F9FA"/>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142"/>
        <w:rPr>
          <w:rFonts w:eastAsia="Times New Roman" w:cs="Times New Roman"/>
          <w:color w:val="202124"/>
          <w:sz w:val="24"/>
          <w:lang w:val="es-ES" w:eastAsia="es-ES"/>
        </w:rPr>
      </w:pPr>
      <w:r>
        <w:tab/>
      </w:r>
      <w:r w:rsidRPr="00C06999">
        <w:rPr>
          <w:rFonts w:cs="Times New Roman"/>
          <w:b/>
          <w:sz w:val="24"/>
        </w:rPr>
        <w:t>ABSTRACT</w:t>
      </w:r>
      <w:r w:rsidR="004C6342" w:rsidRPr="00C06999">
        <w:rPr>
          <w:rFonts w:cs="Times New Roman"/>
          <w:sz w:val="24"/>
        </w:rPr>
        <w:t xml:space="preserve">: </w:t>
      </w:r>
      <w:r w:rsidRPr="00C06999">
        <w:rPr>
          <w:rFonts w:eastAsia="Times New Roman" w:cs="Times New Roman"/>
          <w:color w:val="202124"/>
          <w:sz w:val="24"/>
          <w:lang w:val="en" w:eastAsia="es-ES"/>
        </w:rPr>
        <w:t xml:space="preserve">This research has two objectives; provide evidence about the efficacy of the Inquirid Based Science Education (IBSE) methodology to develop the scientific competence of 12-13 year old students; and establish a reliable way to evaluate said learning process, through an ad-hoc designed test. A quasi-experimental design </w:t>
      </w:r>
      <w:proofErr w:type="gramStart"/>
      <w:r w:rsidRPr="00C06999">
        <w:rPr>
          <w:rFonts w:eastAsia="Times New Roman" w:cs="Times New Roman"/>
          <w:color w:val="202124"/>
          <w:sz w:val="24"/>
          <w:lang w:val="en" w:eastAsia="es-ES"/>
        </w:rPr>
        <w:t>was used</w:t>
      </w:r>
      <w:proofErr w:type="gramEnd"/>
      <w:r w:rsidRPr="00C06999">
        <w:rPr>
          <w:rFonts w:eastAsia="Times New Roman" w:cs="Times New Roman"/>
          <w:color w:val="202124"/>
          <w:sz w:val="24"/>
          <w:lang w:val="en" w:eastAsia="es-ES"/>
        </w:rPr>
        <w:t>, with three groups that performed a test with measurements before and after treatment. This test obtained a reliability value of 0.75 in the Cronbach's alpha statistic. The analysis of variance carried out showed that the group that received the treatment improved their performance in scientific competence significantly with respect to the groups that followed an expository teaching treatment. Likewise, it was observed that the effect size was very high (d = 1.2). The test has behaved as a useful tool in the quantitative assessment of scientific skills in 1st year ESO students.</w:t>
      </w:r>
    </w:p>
    <w:p w:rsidR="000536B8" w:rsidRPr="00C06999" w:rsidRDefault="000536B8" w:rsidP="00B47E0B">
      <w:pPr>
        <w:pStyle w:val="TtulosResumenAbstrac"/>
        <w:rPr>
          <w:sz w:val="24"/>
          <w:lang w:val="en-US"/>
        </w:rPr>
      </w:pPr>
      <w:r w:rsidRPr="00C06999">
        <w:rPr>
          <w:sz w:val="24"/>
          <w:lang w:val="en-US"/>
        </w:rPr>
        <w:t xml:space="preserve"> </w:t>
      </w:r>
    </w:p>
    <w:p w:rsidR="001469D4" w:rsidRPr="00541DEB" w:rsidRDefault="001469D4" w:rsidP="00375629">
      <w:pPr>
        <w:pStyle w:val="Indicador3"/>
        <w:rPr>
          <w:b/>
          <w:lang w:val="en-US"/>
        </w:rPr>
      </w:pPr>
    </w:p>
    <w:p w:rsidR="00393782" w:rsidRPr="00541DEB" w:rsidRDefault="00207F76" w:rsidP="00B47E0B">
      <w:pPr>
        <w:pStyle w:val="TtulosResumenAbstrac"/>
        <w:rPr>
          <w:lang w:val="en-US"/>
        </w:rPr>
      </w:pPr>
      <w:r w:rsidRPr="00541DEB">
        <w:rPr>
          <w:lang w:val="en-US"/>
        </w:rPr>
        <w:t>Keyw</w:t>
      </w:r>
      <w:r w:rsidR="00393782" w:rsidRPr="00541DEB">
        <w:rPr>
          <w:lang w:val="en-US"/>
        </w:rPr>
        <w:t xml:space="preserve">ords: </w:t>
      </w:r>
      <w:r w:rsidR="00C06999">
        <w:rPr>
          <w:b w:val="0"/>
          <w:smallCaps w:val="0"/>
          <w:lang w:val="en-US"/>
        </w:rPr>
        <w:t>scientific competence, guided research, quasi-experimental design.</w:t>
      </w:r>
    </w:p>
    <w:p w:rsidR="001469D4" w:rsidRPr="001469D4" w:rsidRDefault="001469D4" w:rsidP="00375629">
      <w:pPr>
        <w:pStyle w:val="Indicador2"/>
        <w:rPr>
          <w:b/>
        </w:rPr>
      </w:pPr>
    </w:p>
    <w:p w:rsidR="00946429" w:rsidRPr="00946429" w:rsidRDefault="00207F76" w:rsidP="00B47E0B">
      <w:pPr>
        <w:pStyle w:val="Fechasdeaceptacin"/>
      </w:pPr>
      <w:r>
        <w:t>Fecha de r</w:t>
      </w:r>
      <w:r w:rsidR="00946429" w:rsidRPr="00946429">
        <w:t xml:space="preserve">ecepción: </w:t>
      </w:r>
      <w:r w:rsidR="001469D4" w:rsidRPr="001469D4">
        <w:rPr>
          <w:highlight w:val="lightGray"/>
        </w:rPr>
        <w:t>xx</w:t>
      </w:r>
      <w:r w:rsidR="001469D4">
        <w:rPr>
          <w:highlight w:val="lightGray"/>
        </w:rPr>
        <w:t>xxx</w:t>
      </w:r>
      <w:r w:rsidR="001469D4" w:rsidRPr="001469D4">
        <w:rPr>
          <w:highlight w:val="lightGray"/>
        </w:rPr>
        <w:t>xxxxxxxx</w:t>
      </w:r>
    </w:p>
    <w:p w:rsidR="00946429" w:rsidRPr="00946429" w:rsidRDefault="00207F76" w:rsidP="00B47E0B">
      <w:pPr>
        <w:pStyle w:val="Fechasdeaceptacin"/>
      </w:pPr>
      <w:r>
        <w:t>Fecha de a</w:t>
      </w:r>
      <w:r w:rsidR="00946429" w:rsidRPr="00946429">
        <w:t>ceptación:</w:t>
      </w:r>
      <w:r w:rsidR="001469D4">
        <w:t xml:space="preserve"> </w:t>
      </w:r>
      <w:r w:rsidR="001469D4" w:rsidRPr="001469D4">
        <w:rPr>
          <w:highlight w:val="lightGray"/>
        </w:rPr>
        <w:t>xxxxx</w:t>
      </w:r>
      <w:r w:rsidR="001469D4">
        <w:rPr>
          <w:highlight w:val="lightGray"/>
        </w:rPr>
        <w:t>xxx</w:t>
      </w:r>
      <w:r w:rsidR="001469D4" w:rsidRPr="001469D4">
        <w:rPr>
          <w:highlight w:val="lightGray"/>
        </w:rPr>
        <w:t>xxxx</w:t>
      </w:r>
    </w:p>
    <w:p w:rsidR="001469D4" w:rsidRDefault="001469D4" w:rsidP="00375629">
      <w:pPr>
        <w:pStyle w:val="Indicador2"/>
        <w:rPr>
          <w:b/>
        </w:rPr>
      </w:pPr>
    </w:p>
    <w:p w:rsidR="00C91866" w:rsidRDefault="00C91866" w:rsidP="00375629">
      <w:pPr>
        <w:pStyle w:val="Indicador2"/>
        <w:rPr>
          <w:b/>
        </w:rPr>
      </w:pPr>
    </w:p>
    <w:p w:rsidR="00CB15E9" w:rsidRPr="00946429" w:rsidRDefault="00EA60A4" w:rsidP="001469D4">
      <w:pPr>
        <w:pStyle w:val="TextoNormal"/>
        <w:rPr>
          <w:lang w:val="es-ES"/>
        </w:rPr>
      </w:pPr>
      <w:r>
        <w:rPr>
          <w:noProof/>
          <w:lang w:val="es-ES" w:eastAsia="es-ES"/>
        </w:rPr>
        <w:lastRenderedPageBreak/>
        <mc:AlternateContent>
          <mc:Choice Requires="wps">
            <w:drawing>
              <wp:anchor distT="0" distB="0" distL="114300" distR="114300" simplePos="0" relativeHeight="251658752" behindDoc="0" locked="0" layoutInCell="1" allowOverlap="1" wp14:anchorId="02813E21" wp14:editId="3339259F">
                <wp:simplePos x="0" y="0"/>
                <wp:positionH relativeFrom="margin">
                  <wp:posOffset>60960</wp:posOffset>
                </wp:positionH>
                <wp:positionV relativeFrom="paragraph">
                  <wp:posOffset>39370</wp:posOffset>
                </wp:positionV>
                <wp:extent cx="6057900" cy="0"/>
                <wp:effectExtent l="0" t="19050" r="19050" b="19050"/>
                <wp:wrapNone/>
                <wp:docPr id="8" name="Conector recto 8"/>
                <wp:cNvGraphicFramePr/>
                <a:graphic xmlns:a="http://schemas.openxmlformats.org/drawingml/2006/main">
                  <a:graphicData uri="http://schemas.microsoft.com/office/word/2010/wordprocessingShape">
                    <wps:wsp>
                      <wps:cNvCnPr/>
                      <wps:spPr>
                        <a:xfrm flipV="1">
                          <a:off x="0" y="0"/>
                          <a:ext cx="6057900" cy="0"/>
                        </a:xfrm>
                        <a:prstGeom prst="line">
                          <a:avLst/>
                        </a:prstGeom>
                        <a:ln>
                          <a:solidFill>
                            <a:schemeClr val="accent6"/>
                          </a:solidFill>
                        </a:ln>
                        <a:effectLst/>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97D1E5" id="Conector recto 8" o:spid="_x0000_s1026" style="position:absolute;flip:y;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8pt,3.1pt" to="481.8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" strokecolor="#f79646 [3209]" strokeweight="3pt">
                <w10:wrap anchorx="margin"/>
              </v:line>
            </w:pict>
          </mc:Fallback>
        </mc:AlternateContent>
      </w:r>
    </w:p>
    <w:p w:rsidR="0013331D" w:rsidRPr="001503F1" w:rsidRDefault="0013331D" w:rsidP="00B47E0B">
      <w:pPr>
        <w:pStyle w:val="Agradecimientos"/>
        <w:rPr>
          <w:b/>
          <w:smallCaps/>
        </w:rPr>
      </w:pPr>
    </w:p>
    <w:p w:rsidR="008E14ED" w:rsidRDefault="00C06999" w:rsidP="008E14ED">
      <w:pPr>
        <w:pStyle w:val="Encabezado1"/>
        <w:spacing w:before="0" w:after="0"/>
      </w:pPr>
      <w:r>
        <w:t>Introducción</w:t>
      </w:r>
    </w:p>
    <w:p w:rsidR="008E14ED" w:rsidRPr="008E14ED" w:rsidRDefault="008E14ED" w:rsidP="00375629">
      <w:pPr>
        <w:pStyle w:val="Indicador2"/>
        <w:rPr>
          <w:b/>
        </w:rPr>
      </w:pPr>
    </w:p>
    <w:p w:rsidR="00C06999" w:rsidRDefault="00C06999" w:rsidP="00AB66C3">
      <w:pPr>
        <w:ind w:firstLine="567"/>
        <w:rPr>
          <w:sz w:val="24"/>
        </w:rPr>
      </w:pPr>
      <w:r w:rsidRPr="0018704F">
        <w:rPr>
          <w:sz w:val="24"/>
        </w:rPr>
        <w:t xml:space="preserve">La competencia científica forma parte de los currículos educativos desde hace ya algunos años, gracias al </w:t>
      </w:r>
      <w:proofErr w:type="gramStart"/>
      <w:r w:rsidRPr="0018704F">
        <w:rPr>
          <w:sz w:val="24"/>
        </w:rPr>
        <w:t>marco</w:t>
      </w:r>
      <w:proofErr w:type="gramEnd"/>
      <w:r w:rsidRPr="0018704F">
        <w:rPr>
          <w:sz w:val="24"/>
        </w:rPr>
        <w:t xml:space="preserve"> europeo de competencias clave. Sin embargo, su desarrollo práctico en las aulas de Educación Secundaria plantea numerosos interrogantes. La falta de desarrollo profesional de los docentes en España con respecto al </w:t>
      </w:r>
      <w:proofErr w:type="gramStart"/>
      <w:r w:rsidRPr="0018704F">
        <w:rPr>
          <w:sz w:val="24"/>
        </w:rPr>
        <w:t>marco</w:t>
      </w:r>
      <w:proofErr w:type="gramEnd"/>
      <w:r w:rsidRPr="0018704F">
        <w:rPr>
          <w:sz w:val="24"/>
        </w:rPr>
        <w:t xml:space="preserve"> competencial es un </w:t>
      </w:r>
      <w:r>
        <w:rPr>
          <w:sz w:val="24"/>
        </w:rPr>
        <w:t xml:space="preserve">gran </w:t>
      </w:r>
      <w:r w:rsidRPr="0018704F">
        <w:rPr>
          <w:sz w:val="24"/>
        </w:rPr>
        <w:t>o</w:t>
      </w:r>
      <w:r>
        <w:rPr>
          <w:sz w:val="24"/>
        </w:rPr>
        <w:t>bstáculo para la enseñanza de dicha competencia (</w:t>
      </w:r>
      <w:r w:rsidRPr="00A71F32">
        <w:rPr>
          <w:sz w:val="24"/>
        </w:rPr>
        <w:t>Couso</w:t>
      </w:r>
      <w:r w:rsidRPr="0018704F">
        <w:rPr>
          <w:sz w:val="24"/>
        </w:rPr>
        <w:t xml:space="preserve">, 2009). Las pruebas </w:t>
      </w:r>
      <w:r>
        <w:rPr>
          <w:sz w:val="24"/>
        </w:rPr>
        <w:t xml:space="preserve">PISA </w:t>
      </w:r>
      <w:proofErr w:type="gramStart"/>
      <w:r>
        <w:rPr>
          <w:sz w:val="24"/>
        </w:rPr>
        <w:t>han</w:t>
      </w:r>
      <w:proofErr w:type="gramEnd"/>
      <w:r>
        <w:rPr>
          <w:sz w:val="24"/>
        </w:rPr>
        <w:t xml:space="preserve"> aportado </w:t>
      </w:r>
      <w:r w:rsidRPr="0018704F">
        <w:rPr>
          <w:sz w:val="24"/>
        </w:rPr>
        <w:t>información relevante sobre las dimensiones teóricas de la competencia científica y sobre cómo evaluar ésta, pero no son suficientes para configurar una estrategia de enseñanza eficaz de la misma. Debemos buscar la forma de transformar el conocimiento que nos proporciona PISA en secuencias de actividades que desarrollen la competencia científica de nuestros estudiantes (</w:t>
      </w:r>
      <w:r w:rsidRPr="00A71F32">
        <w:rPr>
          <w:sz w:val="24"/>
        </w:rPr>
        <w:t>Aguilar y Tapia</w:t>
      </w:r>
      <w:r w:rsidRPr="0018704F">
        <w:rPr>
          <w:sz w:val="24"/>
        </w:rPr>
        <w:t xml:space="preserve">, 2008). </w:t>
      </w:r>
    </w:p>
    <w:p w:rsidR="00C06999" w:rsidRPr="0018704F" w:rsidRDefault="00C06999" w:rsidP="00AB66C3">
      <w:pPr>
        <w:ind w:firstLine="567"/>
        <w:rPr>
          <w:sz w:val="24"/>
        </w:rPr>
      </w:pPr>
      <w:r>
        <w:rPr>
          <w:sz w:val="24"/>
        </w:rPr>
        <w:t>L</w:t>
      </w:r>
      <w:r w:rsidRPr="0018704F">
        <w:rPr>
          <w:sz w:val="24"/>
        </w:rPr>
        <w:t>a implementación de la competencia científica en las aulas requi</w:t>
      </w:r>
      <w:r>
        <w:rPr>
          <w:sz w:val="24"/>
        </w:rPr>
        <w:t>e</w:t>
      </w:r>
      <w:r w:rsidRPr="0018704F">
        <w:rPr>
          <w:sz w:val="24"/>
        </w:rPr>
        <w:t xml:space="preserve">re </w:t>
      </w:r>
      <w:proofErr w:type="gramStart"/>
      <w:r w:rsidRPr="0018704F">
        <w:rPr>
          <w:sz w:val="24"/>
        </w:rPr>
        <w:t>un</w:t>
      </w:r>
      <w:proofErr w:type="gramEnd"/>
      <w:r w:rsidRPr="0018704F">
        <w:rPr>
          <w:sz w:val="24"/>
        </w:rPr>
        <w:t xml:space="preserve"> cambio profundo en las práct</w:t>
      </w:r>
      <w:r>
        <w:rPr>
          <w:sz w:val="24"/>
        </w:rPr>
        <w:t>icas educativas, con intervenció</w:t>
      </w:r>
      <w:r w:rsidRPr="0018704F">
        <w:rPr>
          <w:sz w:val="24"/>
        </w:rPr>
        <w:t>n de diversos factores como la propia naturaleza de la competencia científica, cambios en los programas, un apropiado desarrollo curricular, la metodología didáctica apropiada, y la formació</w:t>
      </w:r>
      <w:r>
        <w:rPr>
          <w:sz w:val="24"/>
        </w:rPr>
        <w:t xml:space="preserve">n del profesorado, entre otros </w:t>
      </w:r>
      <w:r w:rsidRPr="00A71F32">
        <w:rPr>
          <w:sz w:val="24"/>
        </w:rPr>
        <w:t xml:space="preserve">(Franco, Blanco y España, </w:t>
      </w:r>
      <w:r>
        <w:rPr>
          <w:sz w:val="24"/>
        </w:rPr>
        <w:t xml:space="preserve">2017). Igualmente, la enseñanza de las ciencias debe transmitir </w:t>
      </w:r>
      <w:proofErr w:type="gramStart"/>
      <w:r>
        <w:rPr>
          <w:sz w:val="24"/>
        </w:rPr>
        <w:t>un</w:t>
      </w:r>
      <w:proofErr w:type="gramEnd"/>
      <w:r>
        <w:rPr>
          <w:sz w:val="24"/>
        </w:rPr>
        <w:t xml:space="preserve"> conocimiento relevante para el alumno, permitiéndole comprender fenómenos cotidianos que les sean de utilidad para desenvolverse en la sociedad actual. La </w:t>
      </w:r>
      <w:proofErr w:type="gramStart"/>
      <w:r>
        <w:rPr>
          <w:sz w:val="24"/>
        </w:rPr>
        <w:t>meta</w:t>
      </w:r>
      <w:proofErr w:type="gramEnd"/>
      <w:r>
        <w:rPr>
          <w:sz w:val="24"/>
        </w:rPr>
        <w:t xml:space="preserve"> de la alfabetización científica plantea el reto de encontrar los métodos de enseñanza más favorecedores del desarrollo de la competencia científica </w:t>
      </w:r>
      <w:r w:rsidR="00AD273B">
        <w:rPr>
          <w:sz w:val="24"/>
        </w:rPr>
        <w:t>(Romero</w:t>
      </w:r>
      <w:r>
        <w:rPr>
          <w:sz w:val="24"/>
        </w:rPr>
        <w:t xml:space="preserve">, 2017). </w:t>
      </w:r>
    </w:p>
    <w:p w:rsidR="00C06999" w:rsidRDefault="00C06999" w:rsidP="00AB66C3">
      <w:pPr>
        <w:ind w:firstLine="567"/>
        <w:rPr>
          <w:sz w:val="24"/>
        </w:rPr>
      </w:pPr>
      <w:r w:rsidRPr="0018704F">
        <w:rPr>
          <w:sz w:val="24"/>
        </w:rPr>
        <w:t xml:space="preserve">Para responder a </w:t>
      </w:r>
      <w:proofErr w:type="gramStart"/>
      <w:r w:rsidRPr="0018704F">
        <w:rPr>
          <w:sz w:val="24"/>
        </w:rPr>
        <w:t>este</w:t>
      </w:r>
      <w:proofErr w:type="gramEnd"/>
      <w:r w:rsidRPr="0018704F">
        <w:rPr>
          <w:sz w:val="24"/>
        </w:rPr>
        <w:t xml:space="preserve"> reto, se ha di</w:t>
      </w:r>
      <w:r>
        <w:rPr>
          <w:sz w:val="24"/>
        </w:rPr>
        <w:t xml:space="preserve">señado y evaluado un programa </w:t>
      </w:r>
      <w:r w:rsidRPr="0018704F">
        <w:rPr>
          <w:sz w:val="24"/>
        </w:rPr>
        <w:t xml:space="preserve">de enseñanza-aprendizaje de la competencia científica, durante un curso escolar, </w:t>
      </w:r>
      <w:r>
        <w:rPr>
          <w:sz w:val="24"/>
        </w:rPr>
        <w:t>en alumnos de primer curso de ESO</w:t>
      </w:r>
      <w:r w:rsidRPr="0018704F">
        <w:rPr>
          <w:sz w:val="24"/>
        </w:rPr>
        <w:t>, en el marco de la</w:t>
      </w:r>
      <w:r>
        <w:rPr>
          <w:sz w:val="24"/>
        </w:rPr>
        <w:t xml:space="preserve"> materia de Biología y Geología y mediante una metodología de indagación guiada.</w:t>
      </w:r>
      <w:r w:rsidRPr="0018704F">
        <w:rPr>
          <w:sz w:val="24"/>
        </w:rPr>
        <w:t xml:space="preserve"> L</w:t>
      </w:r>
      <w:r w:rsidR="00AB66C3">
        <w:rPr>
          <w:sz w:val="24"/>
        </w:rPr>
        <w:t>a presente experiencia tuvo</w:t>
      </w:r>
      <w:r w:rsidRPr="0018704F">
        <w:rPr>
          <w:sz w:val="24"/>
        </w:rPr>
        <w:t xml:space="preserve"> lugar en el IES Carpe Diem </w:t>
      </w:r>
      <w:r w:rsidRPr="004C27E1">
        <w:rPr>
          <w:sz w:val="24"/>
        </w:rPr>
        <w:t>de Fuenlabrada</w:t>
      </w:r>
      <w:r w:rsidRPr="0018704F">
        <w:rPr>
          <w:sz w:val="24"/>
        </w:rPr>
        <w:t xml:space="preserve">, en el </w:t>
      </w:r>
      <w:proofErr w:type="gramStart"/>
      <w:r w:rsidRPr="0018704F">
        <w:rPr>
          <w:sz w:val="24"/>
        </w:rPr>
        <w:t>marco</w:t>
      </w:r>
      <w:proofErr w:type="gramEnd"/>
      <w:r w:rsidRPr="0018704F">
        <w:rPr>
          <w:sz w:val="24"/>
        </w:rPr>
        <w:t xml:space="preserve"> del Proyecto XXI, proyecto de innovación que el centro </w:t>
      </w:r>
      <w:r>
        <w:rPr>
          <w:sz w:val="24"/>
        </w:rPr>
        <w:t>viene desarrollando desde hace varios</w:t>
      </w:r>
      <w:r w:rsidRPr="0018704F">
        <w:rPr>
          <w:sz w:val="24"/>
        </w:rPr>
        <w:t xml:space="preserve"> años. </w:t>
      </w:r>
    </w:p>
    <w:p w:rsidR="008E14ED" w:rsidRDefault="008E14ED" w:rsidP="00375629">
      <w:pPr>
        <w:pStyle w:val="Indicador2"/>
        <w:rPr>
          <w:b/>
        </w:rPr>
      </w:pPr>
      <w:r w:rsidRPr="001469D4">
        <w:rPr>
          <w:color w:val="FF0000"/>
        </w:rPr>
        <w:t xml:space="preserve"> </w:t>
      </w:r>
    </w:p>
    <w:p w:rsidR="00380EA1" w:rsidRDefault="001F60B1" w:rsidP="00380EA1">
      <w:pPr>
        <w:pStyle w:val="Encabezado1"/>
        <w:spacing w:before="0" w:after="0"/>
      </w:pPr>
      <w:r>
        <w:t>Objetivos</w:t>
      </w:r>
    </w:p>
    <w:p w:rsidR="00380EA1" w:rsidRDefault="00380EA1" w:rsidP="00375629">
      <w:pPr>
        <w:pStyle w:val="Indicador2"/>
        <w:rPr>
          <w:b/>
        </w:rPr>
      </w:pPr>
    </w:p>
    <w:p w:rsidR="00C06999" w:rsidRPr="0018704F" w:rsidRDefault="00C06999" w:rsidP="00C06999">
      <w:pPr>
        <w:ind w:firstLine="567"/>
        <w:rPr>
          <w:sz w:val="24"/>
        </w:rPr>
      </w:pPr>
      <w:r w:rsidRPr="0018704F">
        <w:rPr>
          <w:sz w:val="24"/>
        </w:rPr>
        <w:t xml:space="preserve">El </w:t>
      </w:r>
      <w:r>
        <w:rPr>
          <w:sz w:val="24"/>
        </w:rPr>
        <w:t xml:space="preserve">estudio se ha realizado para conseguir los siguientes </w:t>
      </w:r>
      <w:r w:rsidRPr="0018704F">
        <w:rPr>
          <w:sz w:val="24"/>
        </w:rPr>
        <w:t>objetivos:</w:t>
      </w:r>
    </w:p>
    <w:p w:rsidR="00C06999" w:rsidRPr="0018704F" w:rsidRDefault="00C06999" w:rsidP="00C06999">
      <w:pPr>
        <w:rPr>
          <w:sz w:val="24"/>
        </w:rPr>
      </w:pPr>
    </w:p>
    <w:p w:rsidR="00C06999" w:rsidRPr="0018704F" w:rsidRDefault="00C06999" w:rsidP="00C06999">
      <w:pPr>
        <w:ind w:firstLine="567"/>
        <w:rPr>
          <w:sz w:val="24"/>
        </w:rPr>
      </w:pPr>
      <w:r>
        <w:rPr>
          <w:sz w:val="24"/>
        </w:rPr>
        <w:t xml:space="preserve">1. </w:t>
      </w:r>
      <w:r w:rsidRPr="0018704F">
        <w:rPr>
          <w:sz w:val="24"/>
        </w:rPr>
        <w:t>Evaluar la eficacia de la m</w:t>
      </w:r>
      <w:r>
        <w:rPr>
          <w:sz w:val="24"/>
        </w:rPr>
        <w:t>etodología de indagación guiada para desarrollar</w:t>
      </w:r>
      <w:r w:rsidRPr="0018704F">
        <w:rPr>
          <w:sz w:val="24"/>
        </w:rPr>
        <w:t xml:space="preserve"> la c</w:t>
      </w:r>
      <w:r>
        <w:rPr>
          <w:sz w:val="24"/>
        </w:rPr>
        <w:t>ompetencia científica en estudiantes</w:t>
      </w:r>
      <w:r w:rsidRPr="0018704F">
        <w:rPr>
          <w:sz w:val="24"/>
        </w:rPr>
        <w:t xml:space="preserve"> de 1º de ESO, en el marco de la materia de Biología y Geología, mediante un diseño cuasi-experimental, con grupo control y con medidas antes y después del tratamiento.</w:t>
      </w:r>
    </w:p>
    <w:p w:rsidR="00C06999" w:rsidRDefault="00C06999" w:rsidP="00C06999">
      <w:pPr>
        <w:ind w:firstLine="567"/>
        <w:rPr>
          <w:sz w:val="24"/>
        </w:rPr>
      </w:pPr>
      <w:r>
        <w:rPr>
          <w:sz w:val="24"/>
        </w:rPr>
        <w:t>2</w:t>
      </w:r>
      <w:r w:rsidRPr="00C621EB">
        <w:rPr>
          <w:sz w:val="24"/>
        </w:rPr>
        <w:t>.</w:t>
      </w:r>
      <w:r>
        <w:rPr>
          <w:sz w:val="24"/>
        </w:rPr>
        <w:t xml:space="preserve"> Diseñar, implementar y validar </w:t>
      </w:r>
      <w:proofErr w:type="gramStart"/>
      <w:r w:rsidRPr="00C621EB">
        <w:rPr>
          <w:sz w:val="24"/>
        </w:rPr>
        <w:t>un</w:t>
      </w:r>
      <w:proofErr w:type="gramEnd"/>
      <w:r w:rsidRPr="00C621EB">
        <w:rPr>
          <w:sz w:val="24"/>
        </w:rPr>
        <w:t xml:space="preserve"> test para medir la com</w:t>
      </w:r>
      <w:r>
        <w:rPr>
          <w:sz w:val="24"/>
        </w:rPr>
        <w:t>petencia científica en las tres dimensiones fundamentales que propone el modelo de la OCDE de 2015.</w:t>
      </w:r>
    </w:p>
    <w:p w:rsidR="00C06999" w:rsidRPr="0018704F" w:rsidRDefault="00C06999" w:rsidP="00AB66C3">
      <w:pPr>
        <w:ind w:firstLine="567"/>
        <w:rPr>
          <w:sz w:val="24"/>
        </w:rPr>
      </w:pPr>
      <w:r>
        <w:rPr>
          <w:sz w:val="24"/>
        </w:rPr>
        <w:t>La consecución de dichos objetivos debe contribuir a a</w:t>
      </w:r>
      <w:r w:rsidRPr="0018704F">
        <w:rPr>
          <w:sz w:val="24"/>
        </w:rPr>
        <w:t>portar conocimiento, basado en la evidencia científica, que ayude a tomar mejores decisiones a la hora de diseñar programas educativos que aborden de forma explícita el desarrollo de la competencia científica en los estudiantes.</w:t>
      </w:r>
    </w:p>
    <w:p w:rsidR="00C06999" w:rsidRDefault="00C06999" w:rsidP="00375629">
      <w:pPr>
        <w:pStyle w:val="Indicador2"/>
      </w:pPr>
    </w:p>
    <w:p w:rsidR="001F60B1" w:rsidRDefault="005311C3" w:rsidP="001F60B1">
      <w:pPr>
        <w:pStyle w:val="Encabezado1"/>
        <w:spacing w:before="0" w:after="0"/>
      </w:pPr>
      <w:r>
        <w:t>Marco teórico</w:t>
      </w:r>
    </w:p>
    <w:p w:rsidR="001F60B1" w:rsidRDefault="001F60B1" w:rsidP="001F60B1">
      <w:pPr>
        <w:pStyle w:val="Indicador2"/>
        <w:rPr>
          <w:b/>
        </w:rPr>
      </w:pPr>
    </w:p>
    <w:p w:rsidR="00380EA1" w:rsidRPr="005311C3" w:rsidRDefault="005311C3" w:rsidP="005311C3">
      <w:pPr>
        <w:pStyle w:val="Titulodelapartado"/>
        <w:numPr>
          <w:ilvl w:val="0"/>
          <w:numId w:val="0"/>
        </w:numPr>
        <w:ind w:left="360" w:hanging="360"/>
      </w:pPr>
      <w:r>
        <w:t>3.1</w:t>
      </w:r>
      <w:r w:rsidR="001503F1" w:rsidRPr="001503F1">
        <w:t xml:space="preserve">. </w:t>
      </w:r>
      <w:r>
        <w:t>Competencia científica</w:t>
      </w:r>
    </w:p>
    <w:p w:rsidR="00EA4ABE" w:rsidRDefault="00EA4ABE" w:rsidP="000156AB">
      <w:pPr>
        <w:pStyle w:val="Estilo1"/>
        <w:ind w:firstLine="0"/>
        <w:rPr>
          <w:i w:val="0"/>
        </w:rPr>
      </w:pPr>
    </w:p>
    <w:p w:rsidR="005311C3" w:rsidRDefault="005311C3" w:rsidP="005311C3">
      <w:pPr>
        <w:ind w:firstLine="567"/>
        <w:rPr>
          <w:sz w:val="24"/>
        </w:rPr>
      </w:pPr>
      <w:r w:rsidRPr="0018704F">
        <w:rPr>
          <w:sz w:val="24"/>
        </w:rPr>
        <w:t>La finalidad de la enseñan</w:t>
      </w:r>
      <w:r>
        <w:rPr>
          <w:sz w:val="24"/>
        </w:rPr>
        <w:t xml:space="preserve">za de las ciencias </w:t>
      </w:r>
      <w:r w:rsidRPr="0018704F">
        <w:rPr>
          <w:sz w:val="24"/>
        </w:rPr>
        <w:t xml:space="preserve">no es tanto la formación de futuros científicos, sino más bien la formación de futuros ciudadanos con capacidad crítica, usuarios informados de los conocimientos que produce la ciencia. </w:t>
      </w:r>
      <w:r>
        <w:rPr>
          <w:sz w:val="24"/>
        </w:rPr>
        <w:t xml:space="preserve">La importancia de la alfabetización científica ha sido centro de discusión desde principios </w:t>
      </w:r>
      <w:proofErr w:type="gramStart"/>
      <w:r>
        <w:rPr>
          <w:sz w:val="24"/>
        </w:rPr>
        <w:t>del</w:t>
      </w:r>
      <w:proofErr w:type="gramEnd"/>
      <w:r>
        <w:rPr>
          <w:sz w:val="24"/>
        </w:rPr>
        <w:t xml:space="preserve"> siglo pasado. Sin embargo, el primero que delimitó las dimensiones </w:t>
      </w:r>
      <w:proofErr w:type="gramStart"/>
      <w:r>
        <w:rPr>
          <w:sz w:val="24"/>
        </w:rPr>
        <w:t>del</w:t>
      </w:r>
      <w:proofErr w:type="gramEnd"/>
      <w:r>
        <w:rPr>
          <w:sz w:val="24"/>
        </w:rPr>
        <w:t xml:space="preserve"> concepto para que pudieran ser traducidos en objetivos concretos en los currículos de ciencias fue </w:t>
      </w:r>
      <w:r w:rsidRPr="00B07A68">
        <w:rPr>
          <w:sz w:val="24"/>
        </w:rPr>
        <w:t xml:space="preserve">Showalter </w:t>
      </w:r>
      <w:r>
        <w:rPr>
          <w:sz w:val="24"/>
        </w:rPr>
        <w:t xml:space="preserve">(1974, en </w:t>
      </w:r>
      <w:r w:rsidRPr="00B07A68">
        <w:rPr>
          <w:sz w:val="24"/>
        </w:rPr>
        <w:t>Lederman</w:t>
      </w:r>
      <w:r>
        <w:rPr>
          <w:sz w:val="24"/>
        </w:rPr>
        <w:t xml:space="preserve">, 2018). Posteriormente, se fueron concretando dichas dimensiones en </w:t>
      </w:r>
      <w:r>
        <w:rPr>
          <w:sz w:val="24"/>
        </w:rPr>
        <w:lastRenderedPageBreak/>
        <w:t xml:space="preserve">el contexto educativo norteamericano, a través de diversas actualizaciones llevadas a cabo </w:t>
      </w:r>
      <w:r w:rsidRPr="00B07A68">
        <w:rPr>
          <w:sz w:val="24"/>
        </w:rPr>
        <w:t xml:space="preserve">por la National Science Teachers Association (1982), y el National Research Council (1996, 2007 y 2012) </w:t>
      </w:r>
      <w:r>
        <w:rPr>
          <w:sz w:val="24"/>
        </w:rPr>
        <w:t xml:space="preserve">que se transformaron en una serie de estándares de educación en ciencias. </w:t>
      </w:r>
    </w:p>
    <w:p w:rsidR="005311C3" w:rsidRDefault="005311C3" w:rsidP="005311C3">
      <w:pPr>
        <w:ind w:firstLine="567"/>
        <w:rPr>
          <w:sz w:val="24"/>
        </w:rPr>
      </w:pPr>
    </w:p>
    <w:p w:rsidR="005311C3" w:rsidRDefault="005311C3" w:rsidP="00CC5A59">
      <w:pPr>
        <w:widowControl w:val="0"/>
        <w:autoSpaceDE w:val="0"/>
        <w:autoSpaceDN w:val="0"/>
        <w:adjustRightInd w:val="0"/>
        <w:spacing w:after="200"/>
        <w:ind w:left="1134"/>
        <w:rPr>
          <w:sz w:val="24"/>
        </w:rPr>
      </w:pPr>
      <w:proofErr w:type="gramStart"/>
      <w:r w:rsidRPr="00395D8D">
        <w:rPr>
          <w:sz w:val="24"/>
        </w:rPr>
        <w:t>En un mundo repleto de la indagación científica, la alfabetización científica se ha convertido en una necesidad para todos: todos necesitamos utilizar la información científica para realizar opciones que se plantean cada día; todos necesitamos ser capaces de implicarnos en discusiones públicas acerca de asuntos importantes que se relacionan con la ciencia y la tecnología; y todos merecemos compartir la emoción y la realización personal que puede producir la comprensión del mundo natural.</w:t>
      </w:r>
      <w:proofErr w:type="gramEnd"/>
      <w:r w:rsidRPr="00395D8D">
        <w:rPr>
          <w:sz w:val="24"/>
        </w:rPr>
        <w:t xml:space="preserve"> </w:t>
      </w:r>
      <w:r w:rsidRPr="00B07A68">
        <w:rPr>
          <w:sz w:val="24"/>
        </w:rPr>
        <w:t>(NRC, 1996, p. 1)</w:t>
      </w:r>
    </w:p>
    <w:p w:rsidR="00AB66C3" w:rsidRDefault="005311C3" w:rsidP="00AB66C3">
      <w:pPr>
        <w:widowControl w:val="0"/>
        <w:autoSpaceDE w:val="0"/>
        <w:autoSpaceDN w:val="0"/>
        <w:adjustRightInd w:val="0"/>
        <w:ind w:firstLine="567"/>
        <w:rPr>
          <w:sz w:val="24"/>
        </w:rPr>
      </w:pPr>
      <w:r>
        <w:rPr>
          <w:sz w:val="24"/>
        </w:rPr>
        <w:t>La clave de estos documentos es que dibujan el paradigma dominante en la educación cie</w:t>
      </w:r>
      <w:r w:rsidR="00AB66C3">
        <w:rPr>
          <w:sz w:val="24"/>
        </w:rPr>
        <w:t>ntífica en los Estados Unidos. L</w:t>
      </w:r>
      <w:r>
        <w:rPr>
          <w:sz w:val="24"/>
        </w:rPr>
        <w:t xml:space="preserve">a ciencia debe enseñarse </w:t>
      </w:r>
      <w:proofErr w:type="gramStart"/>
      <w:r>
        <w:rPr>
          <w:sz w:val="24"/>
        </w:rPr>
        <w:t>como</w:t>
      </w:r>
      <w:proofErr w:type="gramEnd"/>
      <w:r>
        <w:rPr>
          <w:sz w:val="24"/>
        </w:rPr>
        <w:t xml:space="preserve"> un proceso de investigación, como actividad basada en la práctica.  Dicha actividad, sin embargo, no debe tomarse </w:t>
      </w:r>
      <w:proofErr w:type="gramStart"/>
      <w:r>
        <w:rPr>
          <w:sz w:val="24"/>
        </w:rPr>
        <w:t>como</w:t>
      </w:r>
      <w:proofErr w:type="gramEnd"/>
      <w:r>
        <w:rPr>
          <w:sz w:val="24"/>
        </w:rPr>
        <w:t xml:space="preserve"> un medio para ilustrar o comprobar la explicación de los fenómenos naturales aportadas por el profesor, sino como una herramienta para desarrollar una comprensión profunda de la naturaleza de la ciencia. (</w:t>
      </w:r>
      <w:r w:rsidRPr="00B07A68">
        <w:rPr>
          <w:sz w:val="24"/>
        </w:rPr>
        <w:t>Osborne</w:t>
      </w:r>
      <w:r>
        <w:rPr>
          <w:sz w:val="24"/>
        </w:rPr>
        <w:t>, 2014).</w:t>
      </w:r>
      <w:r w:rsidR="00AB66C3">
        <w:rPr>
          <w:sz w:val="24"/>
        </w:rPr>
        <w:t xml:space="preserve"> </w:t>
      </w:r>
      <w:r>
        <w:rPr>
          <w:sz w:val="24"/>
        </w:rPr>
        <w:t xml:space="preserve">En </w:t>
      </w:r>
      <w:proofErr w:type="gramStart"/>
      <w:r>
        <w:rPr>
          <w:sz w:val="24"/>
        </w:rPr>
        <w:t>un</w:t>
      </w:r>
      <w:proofErr w:type="gramEnd"/>
      <w:r>
        <w:rPr>
          <w:sz w:val="24"/>
        </w:rPr>
        <w:t xml:space="preserve"> ámbito educativo más cercano al nuestro, la OCDE</w:t>
      </w:r>
      <w:r w:rsidRPr="0018704F">
        <w:rPr>
          <w:sz w:val="24"/>
        </w:rPr>
        <w:t xml:space="preserve"> proporciona un marco teórico para la </w:t>
      </w:r>
      <w:r>
        <w:rPr>
          <w:sz w:val="24"/>
        </w:rPr>
        <w:t xml:space="preserve">alfabetización científica, a través del desarrollo de la </w:t>
      </w:r>
      <w:r w:rsidRPr="0018704F">
        <w:rPr>
          <w:sz w:val="24"/>
        </w:rPr>
        <w:t>competencia científica</w:t>
      </w:r>
      <w:r>
        <w:rPr>
          <w:sz w:val="24"/>
        </w:rPr>
        <w:t xml:space="preserve">, </w:t>
      </w:r>
      <w:r w:rsidRPr="0018704F">
        <w:rPr>
          <w:sz w:val="24"/>
        </w:rPr>
        <w:t>desde el año 2000, que va actualizando periódicamente. Éste sienta las bases de las evaluaciones PISA</w:t>
      </w:r>
      <w:r>
        <w:rPr>
          <w:sz w:val="24"/>
        </w:rPr>
        <w:t xml:space="preserve"> que realiza cada tres años dicho</w:t>
      </w:r>
      <w:r w:rsidRPr="0018704F">
        <w:rPr>
          <w:sz w:val="24"/>
        </w:rPr>
        <w:t xml:space="preserve"> organismo internacional. La versión más reciente y completa, en lo que al marco teórico de la competencia científica se refiere, define dicha competencia </w:t>
      </w:r>
      <w:r>
        <w:rPr>
          <w:sz w:val="24"/>
        </w:rPr>
        <w:t xml:space="preserve">de manera muy sencilla </w:t>
      </w:r>
      <w:r w:rsidRPr="0018704F">
        <w:rPr>
          <w:sz w:val="24"/>
        </w:rPr>
        <w:t>como “la habilidad para interactuar con cuestiones relacionadas con la ciencia y con las ideas de la ciencia, como ciudadano reflexivo” (</w:t>
      </w:r>
      <w:r w:rsidRPr="00B07A68">
        <w:rPr>
          <w:sz w:val="24"/>
        </w:rPr>
        <w:t>OCDE, 2016</w:t>
      </w:r>
      <w:r w:rsidRPr="0018704F">
        <w:rPr>
          <w:sz w:val="24"/>
        </w:rPr>
        <w:t xml:space="preserve">, p.24). </w:t>
      </w:r>
      <w:r>
        <w:rPr>
          <w:sz w:val="24"/>
        </w:rPr>
        <w:t xml:space="preserve">Dicho </w:t>
      </w:r>
      <w:proofErr w:type="gramStart"/>
      <w:r>
        <w:rPr>
          <w:sz w:val="24"/>
        </w:rPr>
        <w:t>marco</w:t>
      </w:r>
      <w:proofErr w:type="gramEnd"/>
      <w:r>
        <w:rPr>
          <w:sz w:val="24"/>
        </w:rPr>
        <w:t xml:space="preserve"> se compone de cuatro aspectos interrelacionados: contexto, competenc</w:t>
      </w:r>
      <w:r w:rsidR="00AB66C3">
        <w:rPr>
          <w:sz w:val="24"/>
        </w:rPr>
        <w:t xml:space="preserve">ias, actitudes y conocimiento. </w:t>
      </w:r>
    </w:p>
    <w:p w:rsidR="005311C3" w:rsidRDefault="005311C3" w:rsidP="00AB66C3">
      <w:pPr>
        <w:widowControl w:val="0"/>
        <w:autoSpaceDE w:val="0"/>
        <w:autoSpaceDN w:val="0"/>
        <w:adjustRightInd w:val="0"/>
        <w:ind w:firstLine="567"/>
        <w:rPr>
          <w:sz w:val="24"/>
        </w:rPr>
      </w:pPr>
      <w:r>
        <w:rPr>
          <w:sz w:val="24"/>
        </w:rPr>
        <w:t xml:space="preserve">El contexto no sólo incluye el ámbito escolar, sino que abarca situaciones </w:t>
      </w:r>
      <w:proofErr w:type="gramStart"/>
      <w:r>
        <w:rPr>
          <w:sz w:val="24"/>
        </w:rPr>
        <w:t>del</w:t>
      </w:r>
      <w:proofErr w:type="gramEnd"/>
      <w:r>
        <w:rPr>
          <w:sz w:val="24"/>
        </w:rPr>
        <w:t xml:space="preserve"> ámbito personal, familiar, local, nacional y global. Estos contextos requieren que los estudiantes muestren unas determinadas habilidades científicas. La característica clave </w:t>
      </w:r>
      <w:proofErr w:type="gramStart"/>
      <w:r>
        <w:rPr>
          <w:sz w:val="24"/>
        </w:rPr>
        <w:t>del</w:t>
      </w:r>
      <w:proofErr w:type="gramEnd"/>
      <w:r>
        <w:rPr>
          <w:sz w:val="24"/>
        </w:rPr>
        <w:t xml:space="preserve"> aspecto contextual, en relación con las competencias, es que posibilita la capacidad de los estudiantes de transferir las mencionadas habilidades, junto con el conocimiento que implican, a una gran variedad de situaciones. Por otra parte, la capacidad de mostrar competencia científica estará influenciada, a su vez, por las actitudes que muestren los estudiantes en cuanto al interés por la ciencia y la valoración que hagan de la misma. </w:t>
      </w:r>
    </w:p>
    <w:p w:rsidR="005311C3" w:rsidRDefault="005311C3" w:rsidP="00AB66C3">
      <w:pPr>
        <w:rPr>
          <w:sz w:val="24"/>
        </w:rPr>
      </w:pPr>
      <w:r>
        <w:rPr>
          <w:sz w:val="24"/>
        </w:rPr>
        <w:t>En cuanto a la propia competencia científica, se compone de tres dimensiones:</w:t>
      </w:r>
      <w:r w:rsidRPr="0018704F">
        <w:rPr>
          <w:sz w:val="24"/>
        </w:rPr>
        <w:t xml:space="preserve"> explicar fenómenos científicamente, evaluar y diseñar la investigación científica, e interpretar datos y pruebas científicamente. Para poner en juego la capacidad de explicar fenómenos científicamente, los estudiantes deben recordar los contenidos adecuados para interpretar y explicar un determinado fenómeno natural, para predecir posibles cambios en el mismo, para formular hipótesis, para movilizar modelos científicos, y también para realizar y justificar predicciones. </w:t>
      </w:r>
      <w:proofErr w:type="gramStart"/>
      <w:r w:rsidRPr="0018704F">
        <w:rPr>
          <w:sz w:val="24"/>
        </w:rPr>
        <w:t xml:space="preserve">En cuanto a </w:t>
      </w:r>
      <w:r>
        <w:rPr>
          <w:sz w:val="24"/>
        </w:rPr>
        <w:t xml:space="preserve">la dimensión de </w:t>
      </w:r>
      <w:r w:rsidRPr="0018704F">
        <w:rPr>
          <w:sz w:val="24"/>
        </w:rPr>
        <w:t>evaluar y diseñar la investigación científica, los estudiantes deben ser capaces de distinguir las cuestiones científicas de otro tipo de preguntas, de realizar las preguntas adecuadas en un determinado contexto, de reconocer las características de una investigación científica para poder proponer o evaluar formas de abordar una determinada pregunta y asegurarse de que dichas formas cumplen las premisas de calidad y fiabilidad de los datos.</w:t>
      </w:r>
      <w:proofErr w:type="gramEnd"/>
      <w:r w:rsidRPr="0018704F">
        <w:rPr>
          <w:sz w:val="24"/>
        </w:rPr>
        <w:t xml:space="preserve"> Finalmente, en lo referente a </w:t>
      </w:r>
      <w:r>
        <w:rPr>
          <w:sz w:val="24"/>
        </w:rPr>
        <w:t xml:space="preserve">la interpretación de </w:t>
      </w:r>
      <w:r w:rsidRPr="0018704F">
        <w:rPr>
          <w:sz w:val="24"/>
        </w:rPr>
        <w:t xml:space="preserve">datos y pruebas científicamente, los estudiantes deben tener la capacidad de interpretar datos presentados en diferentes formas y sacar conclusiones adecuadas a partir de los mismos. También, deben reconocer y evaluar argumentos basados en pruebas, extraídos de diferentes </w:t>
      </w:r>
      <w:proofErr w:type="gramStart"/>
      <w:r w:rsidRPr="0018704F">
        <w:rPr>
          <w:sz w:val="24"/>
        </w:rPr>
        <w:t>fuentes</w:t>
      </w:r>
      <w:proofErr w:type="gramEnd"/>
      <w:r w:rsidRPr="0018704F">
        <w:rPr>
          <w:sz w:val="24"/>
        </w:rPr>
        <w:t xml:space="preserve">. </w:t>
      </w:r>
    </w:p>
    <w:p w:rsidR="005311C3" w:rsidRPr="0018704F" w:rsidRDefault="005311C3" w:rsidP="00AB66C3">
      <w:pPr>
        <w:ind w:firstLine="720"/>
        <w:rPr>
          <w:sz w:val="24"/>
        </w:rPr>
      </w:pPr>
      <w:r w:rsidRPr="0018704F">
        <w:rPr>
          <w:sz w:val="24"/>
        </w:rPr>
        <w:t xml:space="preserve">Para movilizar estas competencias, se necesitan tres tipos de conocimiento científico; de contenido, procedimental y epistémico. El conocimiento </w:t>
      </w:r>
      <w:proofErr w:type="gramStart"/>
      <w:r w:rsidRPr="0018704F">
        <w:rPr>
          <w:sz w:val="24"/>
        </w:rPr>
        <w:t>del</w:t>
      </w:r>
      <w:proofErr w:type="gramEnd"/>
      <w:r w:rsidRPr="0018704F">
        <w:rPr>
          <w:sz w:val="24"/>
        </w:rPr>
        <w:t xml:space="preserve"> contenido es el más habitual en nuestras aulas. Se trata de conocer los conceptos y principios </w:t>
      </w:r>
      <w:r>
        <w:rPr>
          <w:sz w:val="24"/>
        </w:rPr>
        <w:t>fundamentales de la naturaleza, divididos en</w:t>
      </w:r>
      <w:r w:rsidRPr="0018704F">
        <w:rPr>
          <w:sz w:val="24"/>
        </w:rPr>
        <w:t xml:space="preserve"> tres bloques: sistemas físicos, sistemas vivos, y sistemas terrestres y espaciales. El conocimiento procedimental, por su parte, se refiere al conocimiento de las características de la investigación </w:t>
      </w:r>
      <w:r w:rsidRPr="0018704F">
        <w:rPr>
          <w:sz w:val="24"/>
        </w:rPr>
        <w:lastRenderedPageBreak/>
        <w:t>empírica, su funcionamiento y la forma en la que se obtienen datos fiables y válidos. El conocimiento epistémico, por último, requiere comprender la función de cada paso de la metodología científica, sus objetivos, la naturaleza de los razonamientos científicos, y la finalidad</w:t>
      </w:r>
      <w:r>
        <w:rPr>
          <w:sz w:val="24"/>
        </w:rPr>
        <w:t xml:space="preserve"> de la ciencia.</w:t>
      </w:r>
      <w:r w:rsidRPr="0018704F">
        <w:rPr>
          <w:sz w:val="24"/>
        </w:rPr>
        <w:t xml:space="preserve"> (OCDE, 2016). </w:t>
      </w:r>
    </w:p>
    <w:p w:rsidR="005311C3" w:rsidRDefault="005311C3" w:rsidP="00AB66C3">
      <w:pPr>
        <w:rPr>
          <w:sz w:val="24"/>
        </w:rPr>
      </w:pPr>
      <w:r>
        <w:rPr>
          <w:sz w:val="24"/>
        </w:rPr>
        <w:t xml:space="preserve">Este </w:t>
      </w:r>
      <w:proofErr w:type="gramStart"/>
      <w:r>
        <w:rPr>
          <w:sz w:val="24"/>
        </w:rPr>
        <w:t>marco</w:t>
      </w:r>
      <w:proofErr w:type="gramEnd"/>
      <w:r>
        <w:rPr>
          <w:sz w:val="24"/>
        </w:rPr>
        <w:t xml:space="preserve"> teórico (figura 1) tiene gran valor como guía para el profesor que quiera iniciarse en el diseño de un programa educativo competencial. Asimismo, los ítems liberados de las pruebas PISA constituyen una herramienta útil en dos sentidos. Primero, para la elaboración de pruebas diagnósticas o sumativas; y, segundo, </w:t>
      </w:r>
      <w:proofErr w:type="gramStart"/>
      <w:r>
        <w:rPr>
          <w:sz w:val="24"/>
        </w:rPr>
        <w:t>como</w:t>
      </w:r>
      <w:proofErr w:type="gramEnd"/>
      <w:r>
        <w:rPr>
          <w:sz w:val="24"/>
        </w:rPr>
        <w:t xml:space="preserve"> aprendizaje de los constructos teóricos que subyacen a esta prueba. Este conocimiento permitirá al docente tener una visión más </w:t>
      </w:r>
      <w:proofErr w:type="gramStart"/>
      <w:r>
        <w:rPr>
          <w:sz w:val="24"/>
        </w:rPr>
        <w:t>clara</w:t>
      </w:r>
      <w:proofErr w:type="gramEnd"/>
      <w:r>
        <w:rPr>
          <w:sz w:val="24"/>
        </w:rPr>
        <w:t xml:space="preserve"> de cómo aplicar el marco teórico a su práctica educativa (</w:t>
      </w:r>
      <w:r w:rsidRPr="00B07A68">
        <w:rPr>
          <w:sz w:val="24"/>
        </w:rPr>
        <w:t>Muñoz y Charro</w:t>
      </w:r>
      <w:r>
        <w:rPr>
          <w:sz w:val="24"/>
        </w:rPr>
        <w:t xml:space="preserve">, 2017). </w:t>
      </w:r>
    </w:p>
    <w:p w:rsidR="005311C3" w:rsidRDefault="005311C3" w:rsidP="000156AB">
      <w:pPr>
        <w:pStyle w:val="Estilo1"/>
        <w:ind w:firstLine="0"/>
        <w:rPr>
          <w:i w:val="0"/>
        </w:rPr>
      </w:pPr>
    </w:p>
    <w:p w:rsidR="005311C3" w:rsidRPr="005311C3" w:rsidRDefault="005311C3" w:rsidP="005311C3">
      <w:pPr>
        <w:jc w:val="center"/>
        <w:rPr>
          <w:sz w:val="22"/>
          <w:szCs w:val="22"/>
        </w:rPr>
      </w:pPr>
      <w:r>
        <w:rPr>
          <w:b/>
          <w:sz w:val="22"/>
          <w:szCs w:val="22"/>
        </w:rPr>
        <w:t>FIGURA</w:t>
      </w:r>
      <w:r w:rsidRPr="005311C3">
        <w:rPr>
          <w:b/>
          <w:sz w:val="22"/>
          <w:szCs w:val="22"/>
        </w:rPr>
        <w:t xml:space="preserve"> 1</w:t>
      </w:r>
      <w:r w:rsidRPr="005311C3">
        <w:rPr>
          <w:sz w:val="22"/>
          <w:szCs w:val="22"/>
        </w:rPr>
        <w:t>. Estructura básica de las dimensiones evaluadas por los ítems PISA de ciencias 2015</w:t>
      </w:r>
    </w:p>
    <w:p w:rsidR="005311C3" w:rsidRDefault="005311C3" w:rsidP="000156AB">
      <w:pPr>
        <w:pStyle w:val="Estilo1"/>
        <w:ind w:firstLine="0"/>
        <w:rPr>
          <w:i w:val="0"/>
        </w:rPr>
      </w:pPr>
    </w:p>
    <w:p w:rsidR="005311C3" w:rsidRDefault="005311C3" w:rsidP="005311C3">
      <w:pPr>
        <w:pStyle w:val="Estilo1"/>
        <w:ind w:firstLine="0"/>
        <w:jc w:val="center"/>
        <w:rPr>
          <w:i w:val="0"/>
        </w:rPr>
      </w:pPr>
      <w:r>
        <w:rPr>
          <w:noProof/>
          <w:lang w:val="es-ES" w:eastAsia="es-ES"/>
        </w:rPr>
        <w:drawing>
          <wp:inline distT="0" distB="0" distL="0" distR="0" wp14:anchorId="475B401A" wp14:editId="12B6FCAA">
            <wp:extent cx="4734560" cy="3310834"/>
            <wp:effectExtent l="0" t="0" r="0" b="4445"/>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36063" cy="3311885"/>
                    </a:xfrm>
                    <a:prstGeom prst="rect">
                      <a:avLst/>
                    </a:prstGeom>
                    <a:noFill/>
                    <a:ln>
                      <a:noFill/>
                    </a:ln>
                  </pic:spPr>
                </pic:pic>
              </a:graphicData>
            </a:graphic>
          </wp:inline>
        </w:drawing>
      </w:r>
    </w:p>
    <w:p w:rsidR="005311C3" w:rsidRDefault="005311C3" w:rsidP="000156AB">
      <w:pPr>
        <w:pStyle w:val="Estilo1"/>
        <w:ind w:firstLine="0"/>
        <w:rPr>
          <w:i w:val="0"/>
        </w:rPr>
      </w:pPr>
    </w:p>
    <w:p w:rsidR="005311C3" w:rsidRPr="005311C3" w:rsidRDefault="005311C3" w:rsidP="005311C3">
      <w:pPr>
        <w:jc w:val="center"/>
        <w:rPr>
          <w:szCs w:val="20"/>
        </w:rPr>
      </w:pPr>
      <w:r w:rsidRPr="005311C3">
        <w:rPr>
          <w:szCs w:val="20"/>
        </w:rPr>
        <w:t>Fuente: Muñoz y Charro, 2017, p.322.</w:t>
      </w:r>
    </w:p>
    <w:p w:rsidR="005311C3" w:rsidRDefault="005311C3" w:rsidP="005311C3">
      <w:pPr>
        <w:pStyle w:val="Estilo1"/>
        <w:ind w:firstLine="0"/>
        <w:jc w:val="center"/>
        <w:rPr>
          <w:i w:val="0"/>
        </w:rPr>
      </w:pPr>
    </w:p>
    <w:p w:rsidR="005A77AD" w:rsidRPr="005311C3" w:rsidRDefault="005A77AD" w:rsidP="005A77AD">
      <w:pPr>
        <w:pStyle w:val="Titulodelapartado"/>
        <w:numPr>
          <w:ilvl w:val="0"/>
          <w:numId w:val="0"/>
        </w:numPr>
        <w:ind w:left="360" w:hanging="360"/>
      </w:pPr>
      <w:r>
        <w:t>3.2</w:t>
      </w:r>
      <w:r w:rsidRPr="001503F1">
        <w:t xml:space="preserve">. </w:t>
      </w:r>
      <w:r>
        <w:t>Indagación guiada</w:t>
      </w:r>
    </w:p>
    <w:p w:rsidR="005311C3" w:rsidRDefault="005311C3" w:rsidP="005A231F">
      <w:pPr>
        <w:pStyle w:val="TextoNormal"/>
        <w:ind w:firstLine="0"/>
      </w:pPr>
    </w:p>
    <w:p w:rsidR="005A77AD" w:rsidRDefault="005A77AD" w:rsidP="005A77AD">
      <w:pPr>
        <w:ind w:firstLine="567"/>
        <w:rPr>
          <w:sz w:val="24"/>
        </w:rPr>
      </w:pPr>
      <w:r>
        <w:rPr>
          <w:sz w:val="24"/>
        </w:rPr>
        <w:t xml:space="preserve">El aprendizaje por indagación o, más concretamente, el Inquiry-Based Science Education (IBSE) comenzó su etapa de desarrollo tras la publicación de los National Sciencie Education Standards en los años 90 por parte de las autoridades educativas norteamericanas. En el ámbito europeo, el despegue llegó más tarde, fundamentalmente a partir de la publicación de un informe de la Comisión Europea, dirigido por Michael Rocard en el que se afirma que la ISBE aumenta los niveles de logro y de motivación de los estudiantes de primaria y secundaria </w:t>
      </w:r>
      <w:r w:rsidR="006B4083">
        <w:rPr>
          <w:sz w:val="24"/>
        </w:rPr>
        <w:t>(</w:t>
      </w:r>
      <w:r w:rsidR="006B4083" w:rsidRPr="006B4083">
        <w:rPr>
          <w:sz w:val="24"/>
        </w:rPr>
        <w:t>Rocard, Csermely,  Jorde, Lenz</w:t>
      </w:r>
      <w:r w:rsidR="006B4083">
        <w:rPr>
          <w:sz w:val="24"/>
        </w:rPr>
        <w:t xml:space="preserve">en, Walberg-Henriksson,  y Hemmo, </w:t>
      </w:r>
      <w:r>
        <w:rPr>
          <w:sz w:val="24"/>
        </w:rPr>
        <w:t xml:space="preserve">2007). La Comisión Europea (2015), citado por </w:t>
      </w:r>
      <w:r w:rsidRPr="00B07A68">
        <w:rPr>
          <w:sz w:val="24"/>
        </w:rPr>
        <w:t xml:space="preserve">Romero </w:t>
      </w:r>
      <w:r>
        <w:rPr>
          <w:sz w:val="24"/>
        </w:rPr>
        <w:t xml:space="preserve">(2017), define el enfoque de indagación </w:t>
      </w:r>
      <w:proofErr w:type="gramStart"/>
      <w:r>
        <w:rPr>
          <w:sz w:val="24"/>
        </w:rPr>
        <w:t>como</w:t>
      </w:r>
      <w:proofErr w:type="gramEnd"/>
      <w:r>
        <w:rPr>
          <w:sz w:val="24"/>
        </w:rPr>
        <w:t>:</w:t>
      </w:r>
    </w:p>
    <w:p w:rsidR="005A77AD" w:rsidRDefault="005A77AD" w:rsidP="005A77AD">
      <w:pPr>
        <w:ind w:firstLine="567"/>
        <w:rPr>
          <w:sz w:val="24"/>
        </w:rPr>
      </w:pPr>
    </w:p>
    <w:p w:rsidR="005A77AD" w:rsidRDefault="005A77AD" w:rsidP="00CC5A59">
      <w:pPr>
        <w:ind w:left="1134"/>
        <w:rPr>
          <w:sz w:val="24"/>
        </w:rPr>
      </w:pPr>
      <w:r>
        <w:rPr>
          <w:sz w:val="24"/>
        </w:rPr>
        <w:t>Un proceso complejo de construcción de significados y modelos conceptuales coherentes, en el que los estudiantes formulan cuestiones, investigan para encontrar respuestas, comprenden y construyen nuevo conocimiento y comunican su aprendizaje a otros, aplicando el conocimiento de forma productiva a situaciones nuevas no familiares. (p.289)</w:t>
      </w:r>
    </w:p>
    <w:p w:rsidR="005A77AD" w:rsidRDefault="005A77AD" w:rsidP="005A77AD">
      <w:pPr>
        <w:ind w:left="567"/>
        <w:rPr>
          <w:sz w:val="24"/>
        </w:rPr>
      </w:pPr>
    </w:p>
    <w:p w:rsidR="005A77AD" w:rsidRDefault="005A77AD" w:rsidP="005A77AD">
      <w:pPr>
        <w:ind w:firstLine="567"/>
        <w:rPr>
          <w:sz w:val="24"/>
        </w:rPr>
      </w:pPr>
      <w:r>
        <w:rPr>
          <w:sz w:val="24"/>
        </w:rPr>
        <w:lastRenderedPageBreak/>
        <w:t xml:space="preserve">Las definiciones de indagación son numerosas y </w:t>
      </w:r>
      <w:proofErr w:type="gramStart"/>
      <w:r>
        <w:rPr>
          <w:sz w:val="24"/>
        </w:rPr>
        <w:t>variadas,</w:t>
      </w:r>
      <w:proofErr w:type="gramEnd"/>
      <w:r>
        <w:rPr>
          <w:sz w:val="24"/>
        </w:rPr>
        <w:t xml:space="preserve"> con lo que el concepto de indagación se convierte en polisémico. Se puede abordar la indagación desde tres puntos de vista. Primero, </w:t>
      </w:r>
      <w:proofErr w:type="gramStart"/>
      <w:r>
        <w:rPr>
          <w:sz w:val="24"/>
        </w:rPr>
        <w:t>como</w:t>
      </w:r>
      <w:proofErr w:type="gramEnd"/>
      <w:r>
        <w:rPr>
          <w:sz w:val="24"/>
        </w:rPr>
        <w:t xml:space="preserve"> una capacidad indagativa que deben desarrollar los estudiantes y que puede tomar diferente graduación en la profundidad de su tratamiento, desde un carácter simplemente manipulativo hasta un desarrollo más profundo de las prácticas científicas. Segundo, </w:t>
      </w:r>
      <w:proofErr w:type="gramStart"/>
      <w:r>
        <w:rPr>
          <w:sz w:val="24"/>
        </w:rPr>
        <w:t>como</w:t>
      </w:r>
      <w:proofErr w:type="gramEnd"/>
      <w:r>
        <w:rPr>
          <w:sz w:val="24"/>
        </w:rPr>
        <w:t xml:space="preserve"> actividad inherente a la práctica de la ciencia por parte de los científicos, con un carácter epistémico de la enseñanza de las ciencias. Y, tercero, </w:t>
      </w:r>
      <w:proofErr w:type="gramStart"/>
      <w:r>
        <w:rPr>
          <w:sz w:val="24"/>
        </w:rPr>
        <w:t>como</w:t>
      </w:r>
      <w:proofErr w:type="gramEnd"/>
      <w:r>
        <w:rPr>
          <w:sz w:val="24"/>
        </w:rPr>
        <w:t xml:space="preserve"> una metodología de enseñanza de las ciencias, en el que se centra la atención en la forma de enseñar y aprender ciencias. </w:t>
      </w:r>
      <w:proofErr w:type="gramStart"/>
      <w:r>
        <w:rPr>
          <w:sz w:val="24"/>
        </w:rPr>
        <w:t>Es esta última acepción la que se puede interpretar como propia de la IBSE y tiene una serie de características específicas, en contraposición a la enseñanza tradicional: se organiza en entornos de investigación; el estudiante adquiere un rol activo, guiado por el profesor; la actitud y la motivación son protagonistas; los estudiantes, que gozan de autonomía, se plantean preguntas y usan u obtienen datos; y se diseña siguiendo las fases de la propia metodología científica (</w:t>
      </w:r>
      <w:r w:rsidRPr="00B07A68">
        <w:rPr>
          <w:sz w:val="24"/>
        </w:rPr>
        <w:t>Couso</w:t>
      </w:r>
      <w:r>
        <w:rPr>
          <w:sz w:val="24"/>
        </w:rPr>
        <w:t>, 2014).</w:t>
      </w:r>
      <w:proofErr w:type="gramEnd"/>
      <w:r>
        <w:rPr>
          <w:sz w:val="24"/>
        </w:rPr>
        <w:t xml:space="preserve"> </w:t>
      </w:r>
    </w:p>
    <w:p w:rsidR="005A77AD" w:rsidRDefault="005A77AD" w:rsidP="005A77AD">
      <w:pPr>
        <w:ind w:firstLine="567"/>
        <w:rPr>
          <w:sz w:val="24"/>
        </w:rPr>
      </w:pPr>
      <w:r>
        <w:rPr>
          <w:sz w:val="24"/>
        </w:rPr>
        <w:t xml:space="preserve">Las intervenciones que recoge la literatura pedagógica bajo el paraguas de la indagación son múltiples, y se mueven en diferentes graduaciones según el grado de autonomía </w:t>
      </w:r>
      <w:proofErr w:type="gramStart"/>
      <w:r>
        <w:rPr>
          <w:sz w:val="24"/>
        </w:rPr>
        <w:t>del</w:t>
      </w:r>
      <w:proofErr w:type="gramEnd"/>
      <w:r>
        <w:rPr>
          <w:sz w:val="24"/>
        </w:rPr>
        <w:t xml:space="preserve"> estudiante y el nivel de guía recibido por parte del profesor (</w:t>
      </w:r>
      <w:r w:rsidRPr="00B07A68">
        <w:rPr>
          <w:sz w:val="24"/>
        </w:rPr>
        <w:t>Romero</w:t>
      </w:r>
      <w:r>
        <w:rPr>
          <w:sz w:val="24"/>
        </w:rPr>
        <w:t xml:space="preserve">, 2017). </w:t>
      </w:r>
      <w:proofErr w:type="gramStart"/>
      <w:r>
        <w:rPr>
          <w:sz w:val="24"/>
        </w:rPr>
        <w:t xml:space="preserve">En este sentido, </w:t>
      </w:r>
      <w:r w:rsidRPr="00B07A68">
        <w:rPr>
          <w:sz w:val="24"/>
        </w:rPr>
        <w:t xml:space="preserve">Bevins y Price </w:t>
      </w:r>
      <w:r>
        <w:rPr>
          <w:sz w:val="24"/>
        </w:rPr>
        <w:t xml:space="preserve">(2016) proponen una graduación de modelos de indagación según el grado de intervención del profesor a la hora de guiar el proceso de aprendizaje de </w:t>
      </w:r>
      <w:r w:rsidR="006B4083">
        <w:rPr>
          <w:sz w:val="24"/>
        </w:rPr>
        <w:t>los estudiantes, estableciendo cuatro</w:t>
      </w:r>
      <w:r>
        <w:rPr>
          <w:sz w:val="24"/>
        </w:rPr>
        <w:t xml:space="preserve"> niveles y cinco dimensiones de destrezas, desde el nivel 0 en el cual los estudiantes sólo realizan actividades de verificación, hasta el nivel 3 en el que la indagación es totalmente abierta.</w:t>
      </w:r>
      <w:proofErr w:type="gramEnd"/>
    </w:p>
    <w:p w:rsidR="005A77AD" w:rsidRDefault="005A77AD" w:rsidP="005A77AD">
      <w:pPr>
        <w:ind w:firstLine="567"/>
        <w:rPr>
          <w:sz w:val="24"/>
        </w:rPr>
      </w:pPr>
      <w:r>
        <w:rPr>
          <w:sz w:val="24"/>
        </w:rPr>
        <w:t xml:space="preserve">La enseñanza de las ciencias mediante indagación ha evolucionado desde planteamientos de mera promoción de la indagación, centrados en aspectos manipulativos, hasta planteamientos más reflexivos, con un papel destacado del pensamiento crítico, la argumentación y la modelización. </w:t>
      </w:r>
      <w:proofErr w:type="gramStart"/>
      <w:r>
        <w:rPr>
          <w:sz w:val="24"/>
        </w:rPr>
        <w:t>Un</w:t>
      </w:r>
      <w:proofErr w:type="gramEnd"/>
      <w:r>
        <w:rPr>
          <w:sz w:val="24"/>
        </w:rPr>
        <w:t xml:space="preserve"> aspecto clave en los nuevos enfoques de indagación es la relación entre los datos y las pruebas, producto de la investigación, y las teorías y modelos explicativos (</w:t>
      </w:r>
      <w:r w:rsidRPr="00B07A68">
        <w:rPr>
          <w:sz w:val="24"/>
        </w:rPr>
        <w:t>Couso</w:t>
      </w:r>
      <w:r>
        <w:rPr>
          <w:sz w:val="24"/>
        </w:rPr>
        <w:t xml:space="preserve">, 2014). Esta tendencia de la indagación muestra </w:t>
      </w:r>
      <w:proofErr w:type="gramStart"/>
      <w:r>
        <w:rPr>
          <w:sz w:val="24"/>
        </w:rPr>
        <w:t>un</w:t>
      </w:r>
      <w:proofErr w:type="gramEnd"/>
      <w:r>
        <w:rPr>
          <w:sz w:val="24"/>
        </w:rPr>
        <w:t xml:space="preserve"> paralelismo con el actual marco teórico de PISA que evalúa la competencia científica (</w:t>
      </w:r>
      <w:r w:rsidRPr="00B07A68">
        <w:rPr>
          <w:sz w:val="24"/>
        </w:rPr>
        <w:t>Romero</w:t>
      </w:r>
      <w:r>
        <w:rPr>
          <w:sz w:val="24"/>
        </w:rPr>
        <w:t>, 2017).</w:t>
      </w:r>
    </w:p>
    <w:p w:rsidR="005A77AD" w:rsidRDefault="005A77AD" w:rsidP="005A77AD">
      <w:pPr>
        <w:ind w:firstLine="567"/>
        <w:rPr>
          <w:sz w:val="24"/>
        </w:rPr>
      </w:pPr>
      <w:r>
        <w:rPr>
          <w:sz w:val="24"/>
        </w:rPr>
        <w:t xml:space="preserve">En España, la IBSE está en aún en una fase de desarrollo temprano, según muestra una amplia revisión de investigaciones publicadas en revistas especializadas en Didáctica de las Ciencias Experimentales en el ámbito nacional, desde el año 2007 hasta el 2017. De los 55 artículos seleccionados de este período, si bien casi la mitad corresponden a experiencias desarrolladas en Educación Secundaria, la mayoría, un 60 %, son trabajos teóricos. Del resto, el diseño más repetido constituye la descripción de una experiencia didáctica, siendo el estudio de caso el diseño de carácter empírico más utilizado. Finalmente, el diseño experimental ocupa una presencia residual, no superando el 10 % </w:t>
      </w:r>
      <w:r w:rsidR="008C5231" w:rsidRPr="009F19F9">
        <w:rPr>
          <w:rFonts w:cs="Times New Roman"/>
          <w:sz w:val="24"/>
        </w:rPr>
        <w:t>(</w:t>
      </w:r>
      <w:r w:rsidR="008C5231">
        <w:rPr>
          <w:color w:val="222222"/>
          <w:sz w:val="24"/>
          <w:shd w:val="clear" w:color="auto" w:fill="FFFFFF"/>
        </w:rPr>
        <w:t xml:space="preserve">Aguilera, Martín, </w:t>
      </w:r>
      <w:r w:rsidR="008C5231" w:rsidRPr="008D0207">
        <w:rPr>
          <w:color w:val="222222"/>
          <w:sz w:val="24"/>
          <w:shd w:val="clear" w:color="auto" w:fill="FFFFFF"/>
        </w:rPr>
        <w:t xml:space="preserve">Rodríguez, </w:t>
      </w:r>
      <w:r w:rsidR="008C5231">
        <w:rPr>
          <w:color w:val="222222"/>
          <w:sz w:val="24"/>
          <w:shd w:val="clear" w:color="auto" w:fill="FFFFFF"/>
        </w:rPr>
        <w:t>Ruiz</w:t>
      </w:r>
      <w:r w:rsidR="008C5231" w:rsidRPr="008D0207">
        <w:rPr>
          <w:color w:val="222222"/>
          <w:sz w:val="24"/>
          <w:shd w:val="clear" w:color="auto" w:fill="FFFFFF"/>
        </w:rPr>
        <w:t xml:space="preserve">, </w:t>
      </w:r>
      <w:r w:rsidR="008C5231">
        <w:rPr>
          <w:color w:val="222222"/>
          <w:sz w:val="24"/>
          <w:shd w:val="clear" w:color="auto" w:fill="FFFFFF"/>
        </w:rPr>
        <w:t xml:space="preserve">Williams, </w:t>
      </w:r>
      <w:r w:rsidR="008C5231" w:rsidRPr="008D0207">
        <w:rPr>
          <w:color w:val="222222"/>
          <w:sz w:val="24"/>
          <w:shd w:val="clear" w:color="auto" w:fill="FFFFFF"/>
        </w:rPr>
        <w:t>Vílchez</w:t>
      </w:r>
      <w:r w:rsidR="008C5231">
        <w:rPr>
          <w:color w:val="222222"/>
          <w:sz w:val="24"/>
          <w:shd w:val="clear" w:color="auto" w:fill="FFFFFF"/>
        </w:rPr>
        <w:t xml:space="preserve"> y </w:t>
      </w:r>
      <w:r w:rsidR="008C5231" w:rsidRPr="008D0207">
        <w:rPr>
          <w:color w:val="222222"/>
          <w:sz w:val="24"/>
          <w:shd w:val="clear" w:color="auto" w:fill="FFFFFF"/>
        </w:rPr>
        <w:t>Perales</w:t>
      </w:r>
      <w:r w:rsidR="008C5231" w:rsidRPr="009F19F9">
        <w:rPr>
          <w:rFonts w:cs="Times New Roman"/>
          <w:color w:val="222222"/>
          <w:sz w:val="24"/>
          <w:shd w:val="clear" w:color="auto" w:fill="FFFFFF"/>
        </w:rPr>
        <w:t xml:space="preserve">, </w:t>
      </w:r>
      <w:r w:rsidR="008C5231" w:rsidRPr="009F19F9">
        <w:rPr>
          <w:rFonts w:cs="Times New Roman"/>
          <w:sz w:val="24"/>
        </w:rPr>
        <w:t>2018)</w:t>
      </w:r>
      <w:r>
        <w:rPr>
          <w:sz w:val="24"/>
        </w:rPr>
        <w:t xml:space="preserve">. En este sentido, el presente estudio aporta un caso práctico de implementación de la metodología IBSE en el aula, utilizando un diseño empírico que, basado en el rigor metodológico, permite obtener evidencias y cuantificar efectos. </w:t>
      </w:r>
    </w:p>
    <w:p w:rsidR="005A77AD" w:rsidRDefault="005A77AD" w:rsidP="005A77AD">
      <w:pPr>
        <w:ind w:firstLine="567"/>
        <w:rPr>
          <w:sz w:val="24"/>
        </w:rPr>
      </w:pPr>
      <w:r>
        <w:rPr>
          <w:sz w:val="24"/>
        </w:rPr>
        <w:t xml:space="preserve">El modelo de </w:t>
      </w:r>
      <w:r w:rsidR="006B4083">
        <w:rPr>
          <w:sz w:val="24"/>
        </w:rPr>
        <w:t>Pedaste, Mäeots, Siiman, De Jong, Van Riesen, Kamp y Tsourlidaki</w:t>
      </w:r>
      <w:r w:rsidR="006B4083" w:rsidRPr="007169FE">
        <w:rPr>
          <w:sz w:val="24"/>
        </w:rPr>
        <w:t xml:space="preserve"> </w:t>
      </w:r>
      <w:r>
        <w:rPr>
          <w:sz w:val="24"/>
        </w:rPr>
        <w:t xml:space="preserve">(2015) constituye una aproximación muy completa a la práctica de la indagación guiada. Se compone de varias fases: </w:t>
      </w:r>
    </w:p>
    <w:p w:rsidR="005A77AD" w:rsidRDefault="005A77AD" w:rsidP="005A77AD">
      <w:pPr>
        <w:pStyle w:val="Prrafodelista"/>
        <w:numPr>
          <w:ilvl w:val="0"/>
          <w:numId w:val="43"/>
        </w:numPr>
        <w:spacing w:line="240" w:lineRule="auto"/>
        <w:ind w:left="0" w:firstLine="567"/>
        <w:jc w:val="both"/>
        <w:rPr>
          <w:rFonts w:ascii="Times New Roman" w:hAnsi="Times New Roman"/>
          <w:sz w:val="24"/>
          <w:szCs w:val="24"/>
        </w:rPr>
      </w:pPr>
      <w:r>
        <w:rPr>
          <w:rFonts w:ascii="Times New Roman" w:hAnsi="Times New Roman"/>
          <w:sz w:val="24"/>
          <w:szCs w:val="24"/>
        </w:rPr>
        <w:t>Orientación: se introduce el tema de investigación por parte del profesor, fomentando el interés de los alumnos y motivándoles para afrontar el reto. Un aspecto clave es finalizar con la declaración del problema.</w:t>
      </w:r>
    </w:p>
    <w:p w:rsidR="005A77AD" w:rsidRDefault="005A77AD" w:rsidP="005A77AD">
      <w:pPr>
        <w:pStyle w:val="Prrafodelista"/>
        <w:numPr>
          <w:ilvl w:val="0"/>
          <w:numId w:val="43"/>
        </w:numPr>
        <w:spacing w:line="240" w:lineRule="auto"/>
        <w:ind w:left="0" w:firstLine="567"/>
        <w:jc w:val="both"/>
        <w:rPr>
          <w:rFonts w:ascii="Times New Roman" w:hAnsi="Times New Roman"/>
          <w:sz w:val="24"/>
          <w:szCs w:val="24"/>
        </w:rPr>
      </w:pPr>
      <w:r>
        <w:rPr>
          <w:rFonts w:ascii="Times New Roman" w:hAnsi="Times New Roman"/>
          <w:sz w:val="24"/>
          <w:szCs w:val="24"/>
        </w:rPr>
        <w:t xml:space="preserve">Conceptualización: se busca comprender los conceptos que pertenecen al problema definido anteriormente. Se divide en dos subfases. La primera es la generación de la pregunta de investigación, derivada del problema inicial, y la segunda, la formulación de una hipótesis que intente contestar adecuadamente a la misma. </w:t>
      </w:r>
    </w:p>
    <w:p w:rsidR="005A77AD" w:rsidRDefault="005A77AD" w:rsidP="005A77AD">
      <w:pPr>
        <w:pStyle w:val="Prrafodelista"/>
        <w:numPr>
          <w:ilvl w:val="0"/>
          <w:numId w:val="43"/>
        </w:numPr>
        <w:spacing w:line="240" w:lineRule="auto"/>
        <w:ind w:left="0" w:firstLine="567"/>
        <w:jc w:val="both"/>
        <w:rPr>
          <w:rFonts w:ascii="Times New Roman" w:hAnsi="Times New Roman"/>
          <w:sz w:val="24"/>
          <w:szCs w:val="24"/>
        </w:rPr>
      </w:pPr>
      <w:r>
        <w:rPr>
          <w:rFonts w:ascii="Times New Roman" w:hAnsi="Times New Roman"/>
          <w:sz w:val="24"/>
          <w:szCs w:val="24"/>
        </w:rPr>
        <w:t xml:space="preserve">Investigación: fase activa en la que se busca una repuesta a la pregunta de investigación o a la hipótesis planteada. Consta de tres subfases, exploración, experimentación e </w:t>
      </w:r>
      <w:r>
        <w:rPr>
          <w:rFonts w:ascii="Times New Roman" w:hAnsi="Times New Roman"/>
          <w:sz w:val="24"/>
          <w:szCs w:val="24"/>
        </w:rPr>
        <w:lastRenderedPageBreak/>
        <w:t>interpretación de datos. Durante la exploración se investiga para encontrar la relación entre las variables de estudio, no siendo necesario partir de una hipótesis. En cambio, la subfase de experimentación pretende encontrar pruebas que apoyen la hipótesis de investigación, definiendo el control o la variación de las variables al plantear el experimento. Tanto si el proceso se dirige hacia la exploración como si lo hace hacia la experimentación, se deben recoger datos, que se interpretarán en la última subfase.</w:t>
      </w:r>
    </w:p>
    <w:p w:rsidR="005A77AD" w:rsidRDefault="005A77AD" w:rsidP="005A77AD">
      <w:pPr>
        <w:pStyle w:val="Prrafodelista"/>
        <w:numPr>
          <w:ilvl w:val="0"/>
          <w:numId w:val="43"/>
        </w:numPr>
        <w:spacing w:line="240" w:lineRule="auto"/>
        <w:ind w:left="0" w:firstLine="556"/>
        <w:jc w:val="both"/>
        <w:rPr>
          <w:rFonts w:ascii="Times New Roman" w:hAnsi="Times New Roman"/>
          <w:sz w:val="24"/>
          <w:szCs w:val="24"/>
        </w:rPr>
      </w:pPr>
      <w:r>
        <w:rPr>
          <w:rFonts w:ascii="Times New Roman" w:hAnsi="Times New Roman"/>
          <w:sz w:val="24"/>
          <w:szCs w:val="24"/>
        </w:rPr>
        <w:t>Conclusión: a raíz de la interpretación de datos anterior, se sacarán las conclusiones oportunas, volviendo a considerar si el análisis de los datos responde o apoya a la pregunta o la hipótesis planteada en la fase de conceptualización.</w:t>
      </w:r>
    </w:p>
    <w:p w:rsidR="005A77AD" w:rsidRDefault="005A77AD" w:rsidP="00200B1D">
      <w:pPr>
        <w:pStyle w:val="Prrafodelista"/>
        <w:numPr>
          <w:ilvl w:val="0"/>
          <w:numId w:val="43"/>
        </w:numPr>
        <w:spacing w:line="240" w:lineRule="auto"/>
        <w:ind w:left="0" w:firstLine="567"/>
        <w:jc w:val="both"/>
        <w:rPr>
          <w:rFonts w:ascii="Times New Roman" w:hAnsi="Times New Roman"/>
          <w:sz w:val="24"/>
          <w:szCs w:val="24"/>
        </w:rPr>
      </w:pPr>
      <w:r>
        <w:rPr>
          <w:rFonts w:ascii="Times New Roman" w:hAnsi="Times New Roman"/>
          <w:sz w:val="24"/>
          <w:szCs w:val="24"/>
        </w:rPr>
        <w:t>Discusión: se compone de dos subfases, comunicación y reflexión. La comunicación, como proceso externo, implica que los estudiantes presentan sus conclusiones a los demás. En contraposición, la reflexión es un proceso de carácter interno en el que los estudiantes piensan sobre el proceso realizado y sus resultados.</w:t>
      </w:r>
    </w:p>
    <w:p w:rsidR="005A77AD" w:rsidRDefault="005A77AD" w:rsidP="005A77AD">
      <w:pPr>
        <w:ind w:firstLine="567"/>
        <w:rPr>
          <w:sz w:val="24"/>
        </w:rPr>
      </w:pPr>
      <w:r w:rsidRPr="005A77AD">
        <w:rPr>
          <w:sz w:val="24"/>
        </w:rPr>
        <w:t xml:space="preserve">Para utilizar </w:t>
      </w:r>
      <w:proofErr w:type="gramStart"/>
      <w:r w:rsidRPr="005A77AD">
        <w:rPr>
          <w:sz w:val="24"/>
        </w:rPr>
        <w:t>este</w:t>
      </w:r>
      <w:proofErr w:type="gramEnd"/>
      <w:r w:rsidRPr="005A77AD">
        <w:rPr>
          <w:sz w:val="24"/>
        </w:rPr>
        <w:t xml:space="preserve"> ciclo correctamente se deben tener en cuenta algunas consideraciones. Las subfases de la conceptualización pueden darse de forma independiente, de </w:t>
      </w:r>
      <w:proofErr w:type="gramStart"/>
      <w:r w:rsidRPr="005A77AD">
        <w:rPr>
          <w:sz w:val="24"/>
        </w:rPr>
        <w:t>tal</w:t>
      </w:r>
      <w:proofErr w:type="gramEnd"/>
      <w:r w:rsidRPr="005A77AD">
        <w:rPr>
          <w:sz w:val="24"/>
        </w:rPr>
        <w:t xml:space="preserve"> forma que si se opta por la pregunta iniciaremos un proceso de investigación inductivo que seguirá con la exploración en la siguiente fase. Mientras que, si decidimos partir de la hipótesis, elegiremos la opción deductiva, que continuará con la posterior fase de experimentación. Cabe, además, unir estas dos opciones en una secuencia lineal, con una pregunta a la que le sigue la hipótesis correspondiente. Para decidir qué camino seguir, la clave es fijarse en qué saben los estudiantes sobre el problema planteado en la fase de orientación. Si conocen poco acerca </w:t>
      </w:r>
      <w:proofErr w:type="gramStart"/>
      <w:r w:rsidRPr="005A77AD">
        <w:rPr>
          <w:sz w:val="24"/>
        </w:rPr>
        <w:t>del</w:t>
      </w:r>
      <w:proofErr w:type="gramEnd"/>
      <w:r w:rsidRPr="005A77AD">
        <w:rPr>
          <w:sz w:val="24"/>
        </w:rPr>
        <w:t xml:space="preserve"> mismo, es mejor que comiencen con preguntas que guíen un proceso de exploración. En cambio, si tienen una idea más o menos </w:t>
      </w:r>
      <w:proofErr w:type="gramStart"/>
      <w:r w:rsidRPr="005A77AD">
        <w:rPr>
          <w:sz w:val="24"/>
        </w:rPr>
        <w:t>clara</w:t>
      </w:r>
      <w:proofErr w:type="gramEnd"/>
      <w:r w:rsidRPr="005A77AD">
        <w:rPr>
          <w:sz w:val="24"/>
        </w:rPr>
        <w:t xml:space="preserve"> sobre el problema, es más oportuno plantear hipótesis y seguir el camino de la experimentación. Al finalizar el ciclo, en las conclusiones, se puede decidir, si el análisis de los datos obtenidos así lo aconseja, volver a la pregunta o a la hipótesis para plantear otras nuevas e iniciar otro nuevo ciclo. Además, hay flexibilidad para comenzar el ciclo de varias formas (figura 2). </w:t>
      </w:r>
    </w:p>
    <w:p w:rsidR="005A77AD" w:rsidRDefault="005A77AD" w:rsidP="005A77AD">
      <w:pPr>
        <w:ind w:firstLine="567"/>
        <w:rPr>
          <w:sz w:val="24"/>
        </w:rPr>
      </w:pPr>
    </w:p>
    <w:p w:rsidR="003A7C83" w:rsidRPr="006D4A35" w:rsidRDefault="003A7C83" w:rsidP="003A7C83">
      <w:pPr>
        <w:spacing w:line="360" w:lineRule="auto"/>
        <w:jc w:val="center"/>
        <w:rPr>
          <w:sz w:val="24"/>
        </w:rPr>
      </w:pPr>
      <w:r w:rsidRPr="003A7C83">
        <w:rPr>
          <w:b/>
          <w:sz w:val="22"/>
          <w:szCs w:val="22"/>
        </w:rPr>
        <w:t>FIGURA 2</w:t>
      </w:r>
      <w:r w:rsidRPr="003A7C83">
        <w:rPr>
          <w:sz w:val="22"/>
          <w:szCs w:val="22"/>
        </w:rPr>
        <w:t>. Marco del aprendizaje basado en la indagación.</w:t>
      </w:r>
      <w:r w:rsidRPr="006D4A35">
        <w:rPr>
          <w:sz w:val="24"/>
        </w:rPr>
        <w:t xml:space="preserve"> </w:t>
      </w:r>
    </w:p>
    <w:p w:rsidR="003A7C83" w:rsidRDefault="003A7C83" w:rsidP="003A7C83">
      <w:pPr>
        <w:ind w:firstLine="567"/>
        <w:jc w:val="center"/>
        <w:rPr>
          <w:sz w:val="24"/>
        </w:rPr>
      </w:pPr>
    </w:p>
    <w:p w:rsidR="005A77AD" w:rsidRPr="005A77AD" w:rsidRDefault="003A7C83" w:rsidP="003A7C83">
      <w:pPr>
        <w:ind w:firstLine="567"/>
        <w:jc w:val="center"/>
        <w:rPr>
          <w:sz w:val="24"/>
        </w:rPr>
      </w:pPr>
      <w:r>
        <w:rPr>
          <w:noProof/>
          <w:sz w:val="24"/>
          <w:lang w:val="es-ES" w:eastAsia="es-ES"/>
        </w:rPr>
        <w:lastRenderedPageBreak/>
        <w:drawing>
          <wp:inline distT="0" distB="0" distL="0" distR="0" wp14:anchorId="09881142" wp14:editId="440ACDAB">
            <wp:extent cx="3916680" cy="4267200"/>
            <wp:effectExtent l="0" t="0" r="0" b="0"/>
            <wp:docPr id="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16680" cy="4267200"/>
                    </a:xfrm>
                    <a:prstGeom prst="rect">
                      <a:avLst/>
                    </a:prstGeom>
                    <a:noFill/>
                    <a:ln>
                      <a:noFill/>
                    </a:ln>
                  </pic:spPr>
                </pic:pic>
              </a:graphicData>
            </a:graphic>
          </wp:inline>
        </w:drawing>
      </w:r>
    </w:p>
    <w:p w:rsidR="003A7C83" w:rsidRPr="003A7C83" w:rsidRDefault="003A7C83" w:rsidP="003A7C83">
      <w:pPr>
        <w:spacing w:line="360" w:lineRule="auto"/>
        <w:jc w:val="center"/>
        <w:rPr>
          <w:szCs w:val="20"/>
        </w:rPr>
      </w:pPr>
      <w:r w:rsidRPr="003A7C83">
        <w:rPr>
          <w:szCs w:val="20"/>
        </w:rPr>
        <w:t xml:space="preserve">Fuente: Pedaste </w:t>
      </w:r>
      <w:r w:rsidRPr="009F19F9">
        <w:rPr>
          <w:szCs w:val="20"/>
        </w:rPr>
        <w:t>et al.,</w:t>
      </w:r>
      <w:r w:rsidRPr="003A7C83">
        <w:rPr>
          <w:szCs w:val="20"/>
        </w:rPr>
        <w:t xml:space="preserve"> 2015, p.56</w:t>
      </w:r>
    </w:p>
    <w:p w:rsidR="005A77AD" w:rsidRPr="005311C3" w:rsidRDefault="005A77AD" w:rsidP="003A7C83">
      <w:pPr>
        <w:pStyle w:val="TextoNormal"/>
        <w:ind w:firstLine="0"/>
        <w:jc w:val="center"/>
      </w:pPr>
    </w:p>
    <w:p w:rsidR="003A7C83" w:rsidRDefault="007C289B" w:rsidP="007C289B">
      <w:pPr>
        <w:pStyle w:val="Encabezado1"/>
      </w:pPr>
      <w:r>
        <w:t>MARCO METODOLÓGICO</w:t>
      </w:r>
    </w:p>
    <w:p w:rsidR="007C289B" w:rsidRPr="007C289B" w:rsidRDefault="007C289B" w:rsidP="007C289B">
      <w:pPr>
        <w:pStyle w:val="TextoNormal"/>
      </w:pPr>
    </w:p>
    <w:p w:rsidR="007C289B" w:rsidRDefault="007C289B" w:rsidP="007C289B">
      <w:pPr>
        <w:ind w:firstLine="567"/>
        <w:rPr>
          <w:sz w:val="24"/>
        </w:rPr>
      </w:pPr>
      <w:r>
        <w:rPr>
          <w:sz w:val="24"/>
        </w:rPr>
        <w:t xml:space="preserve">¿Obtendrán mejores resultados, en términos de competencia científica, los estudiantes que siguen una enseñanza de la ciencia basada en la indagación guiada que los que siguen una metodología tradicional expositiva? Para contestar esta pregunta se ha realizado </w:t>
      </w:r>
      <w:proofErr w:type="gramStart"/>
      <w:r>
        <w:rPr>
          <w:sz w:val="24"/>
        </w:rPr>
        <w:t>un</w:t>
      </w:r>
      <w:proofErr w:type="gramEnd"/>
      <w:r>
        <w:rPr>
          <w:sz w:val="24"/>
        </w:rPr>
        <w:t xml:space="preserve"> contraste de hipótesis, partiendo de la siguiente hipótesis nula:</w:t>
      </w:r>
    </w:p>
    <w:p w:rsidR="007C289B" w:rsidRPr="00756475" w:rsidRDefault="007C289B" w:rsidP="007C289B">
      <w:pPr>
        <w:ind w:firstLine="567"/>
        <w:rPr>
          <w:i/>
          <w:sz w:val="24"/>
        </w:rPr>
      </w:pPr>
      <w:r w:rsidRPr="00756475">
        <w:rPr>
          <w:i/>
          <w:sz w:val="24"/>
        </w:rPr>
        <w:t xml:space="preserve">No hay diferencias estadísticamente significativas, en cuanto al desarrollo de </w:t>
      </w:r>
      <w:r>
        <w:rPr>
          <w:i/>
          <w:sz w:val="24"/>
        </w:rPr>
        <w:t>la competencia científica</w:t>
      </w:r>
      <w:r w:rsidRPr="00756475">
        <w:rPr>
          <w:i/>
          <w:sz w:val="24"/>
        </w:rPr>
        <w:t>, entre los estudiantes que siguen una metodolo</w:t>
      </w:r>
      <w:r>
        <w:rPr>
          <w:i/>
          <w:sz w:val="24"/>
        </w:rPr>
        <w:t>gía de enseñanza de la ciencia</w:t>
      </w:r>
      <w:r w:rsidRPr="00756475">
        <w:rPr>
          <w:i/>
          <w:sz w:val="24"/>
        </w:rPr>
        <w:t xml:space="preserve"> basada en la indagación </w:t>
      </w:r>
      <w:r>
        <w:rPr>
          <w:i/>
          <w:sz w:val="24"/>
        </w:rPr>
        <w:t xml:space="preserve">guiada </w:t>
      </w:r>
      <w:r w:rsidRPr="00756475">
        <w:rPr>
          <w:i/>
          <w:sz w:val="24"/>
        </w:rPr>
        <w:t xml:space="preserve">y los que siguen una metodología </w:t>
      </w:r>
      <w:r>
        <w:rPr>
          <w:i/>
          <w:sz w:val="24"/>
        </w:rPr>
        <w:t xml:space="preserve">tradicional expositiva </w:t>
      </w:r>
      <w:r w:rsidRPr="00756475">
        <w:rPr>
          <w:i/>
          <w:sz w:val="24"/>
        </w:rPr>
        <w:t>de enseñanza d</w:t>
      </w:r>
      <w:r>
        <w:rPr>
          <w:i/>
          <w:sz w:val="24"/>
        </w:rPr>
        <w:t>e la misma.</w:t>
      </w:r>
    </w:p>
    <w:p w:rsidR="007C289B" w:rsidRDefault="007C289B" w:rsidP="007C289B">
      <w:pPr>
        <w:ind w:firstLine="567"/>
        <w:rPr>
          <w:sz w:val="24"/>
        </w:rPr>
      </w:pPr>
      <w:r>
        <w:rPr>
          <w:sz w:val="24"/>
        </w:rPr>
        <w:t>Se fija el nivel de significación alfa en 0</w:t>
      </w:r>
      <w:proofErr w:type="gramStart"/>
      <w:r>
        <w:rPr>
          <w:sz w:val="24"/>
        </w:rPr>
        <w:t>,01</w:t>
      </w:r>
      <w:proofErr w:type="gramEnd"/>
      <w:r>
        <w:rPr>
          <w:sz w:val="24"/>
        </w:rPr>
        <w:t xml:space="preserve">, para minimizar la posibilidad de cometer un error de tipo I, y se realiza la prueba estadística paramétrica F, en el contexto de un diseño de investigación cuasi-experimental. El diseño (tabla 1) es el apropiado al contar con grupos naturales. La muestra está formada por 60 estudiantes de 12-13 años de edad de </w:t>
      </w:r>
      <w:proofErr w:type="gramStart"/>
      <w:r>
        <w:rPr>
          <w:sz w:val="24"/>
        </w:rPr>
        <w:t>un</w:t>
      </w:r>
      <w:proofErr w:type="gramEnd"/>
      <w:r>
        <w:rPr>
          <w:sz w:val="24"/>
        </w:rPr>
        <w:t xml:space="preserve"> instituto de Fuenlabrada (Madrid), pertenecientes a tres grupos de 1º de ESO. Uno de los </w:t>
      </w:r>
      <w:proofErr w:type="gramStart"/>
      <w:r>
        <w:rPr>
          <w:sz w:val="24"/>
        </w:rPr>
        <w:t>grupos,</w:t>
      </w:r>
      <w:proofErr w:type="gramEnd"/>
      <w:r>
        <w:rPr>
          <w:sz w:val="24"/>
        </w:rPr>
        <w:t xml:space="preserve"> con 20 alumnos, constituye el grupo experimental, mientras que los dos restantes, con 20 alumnos cada uno, conforman el control. Todos los grupos realizaron una prueba de competencia científica antes </w:t>
      </w:r>
      <w:proofErr w:type="gramStart"/>
      <w:r>
        <w:rPr>
          <w:sz w:val="24"/>
        </w:rPr>
        <w:t>del</w:t>
      </w:r>
      <w:proofErr w:type="gramEnd"/>
      <w:r>
        <w:rPr>
          <w:sz w:val="24"/>
        </w:rPr>
        <w:t xml:space="preserve"> tratamiento, a principios de curso, volviendo a realizar la misma prueba al finalizar el mismo. </w:t>
      </w:r>
    </w:p>
    <w:p w:rsidR="003A7C83" w:rsidRDefault="003A7C83" w:rsidP="005A231F">
      <w:pPr>
        <w:pStyle w:val="TextoNormal"/>
        <w:ind w:firstLine="0"/>
        <w:rPr>
          <w:b/>
        </w:rPr>
      </w:pPr>
    </w:p>
    <w:p w:rsidR="00BB2761" w:rsidRDefault="00BB2761" w:rsidP="00BB2761">
      <w:pPr>
        <w:pStyle w:val="phmfigures"/>
        <w:spacing w:before="0"/>
        <w:ind w:firstLine="0"/>
        <w:rPr>
          <w:lang w:eastAsia="es-ES"/>
        </w:rPr>
      </w:pPr>
      <w:r>
        <w:rPr>
          <w:b/>
          <w:smallCaps/>
          <w:sz w:val="22"/>
        </w:rPr>
        <w:t>Tabla</w:t>
      </w:r>
      <w:r w:rsidRPr="000156AB">
        <w:rPr>
          <w:b/>
          <w:smallCaps/>
          <w:sz w:val="22"/>
        </w:rPr>
        <w:t xml:space="preserve"> </w:t>
      </w:r>
      <w:r>
        <w:rPr>
          <w:b/>
          <w:smallCaps/>
          <w:sz w:val="22"/>
        </w:rPr>
        <w:t>1</w:t>
      </w:r>
      <w:r w:rsidRPr="000156AB">
        <w:rPr>
          <w:b/>
          <w:smallCaps/>
          <w:sz w:val="22"/>
        </w:rPr>
        <w:t>.</w:t>
      </w:r>
      <w:r>
        <w:rPr>
          <w:b/>
          <w:smallCaps/>
          <w:sz w:val="22"/>
        </w:rPr>
        <w:t xml:space="preserve"> </w:t>
      </w:r>
      <w:r>
        <w:rPr>
          <w:sz w:val="22"/>
        </w:rPr>
        <w:t>Diseño de investigación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31"/>
        <w:gridCol w:w="1141"/>
        <w:gridCol w:w="1343"/>
        <w:gridCol w:w="3023"/>
        <w:gridCol w:w="1056"/>
      </w:tblGrid>
      <w:tr w:rsidR="00BB2761" w:rsidRPr="00524AE2" w:rsidTr="00524AE2">
        <w:trPr>
          <w:jc w:val="center"/>
        </w:trPr>
        <w:tc>
          <w:tcPr>
            <w:tcW w:w="1931" w:type="dxa"/>
            <w:tcBorders>
              <w:left w:val="nil"/>
              <w:right w:val="nil"/>
            </w:tcBorders>
          </w:tcPr>
          <w:p w:rsidR="00BB2761" w:rsidRPr="00524AE2" w:rsidRDefault="00BB2761" w:rsidP="001503CF">
            <w:pPr>
              <w:spacing w:line="360" w:lineRule="auto"/>
              <w:jc w:val="center"/>
              <w:rPr>
                <w:b/>
                <w:sz w:val="22"/>
                <w:szCs w:val="22"/>
              </w:rPr>
            </w:pPr>
            <w:r w:rsidRPr="00524AE2">
              <w:rPr>
                <w:b/>
                <w:sz w:val="22"/>
                <w:szCs w:val="22"/>
              </w:rPr>
              <w:t>Grupo</w:t>
            </w:r>
          </w:p>
        </w:tc>
        <w:tc>
          <w:tcPr>
            <w:tcW w:w="1141" w:type="dxa"/>
            <w:tcBorders>
              <w:left w:val="nil"/>
              <w:right w:val="nil"/>
            </w:tcBorders>
          </w:tcPr>
          <w:p w:rsidR="00BB2761" w:rsidRPr="00524AE2" w:rsidRDefault="00BB2761" w:rsidP="001503CF">
            <w:pPr>
              <w:spacing w:line="360" w:lineRule="auto"/>
              <w:jc w:val="center"/>
              <w:rPr>
                <w:b/>
                <w:sz w:val="22"/>
                <w:szCs w:val="22"/>
              </w:rPr>
            </w:pPr>
            <w:r w:rsidRPr="00524AE2">
              <w:rPr>
                <w:b/>
                <w:sz w:val="22"/>
                <w:szCs w:val="22"/>
              </w:rPr>
              <w:t>Número</w:t>
            </w:r>
          </w:p>
        </w:tc>
        <w:tc>
          <w:tcPr>
            <w:tcW w:w="1343" w:type="dxa"/>
            <w:tcBorders>
              <w:left w:val="nil"/>
              <w:right w:val="nil"/>
            </w:tcBorders>
          </w:tcPr>
          <w:p w:rsidR="00BB2761" w:rsidRPr="00524AE2" w:rsidRDefault="00BB2761" w:rsidP="001503CF">
            <w:pPr>
              <w:spacing w:line="360" w:lineRule="auto"/>
              <w:jc w:val="center"/>
              <w:rPr>
                <w:b/>
                <w:sz w:val="22"/>
                <w:szCs w:val="22"/>
              </w:rPr>
            </w:pPr>
            <w:r w:rsidRPr="00524AE2">
              <w:rPr>
                <w:b/>
                <w:sz w:val="22"/>
                <w:szCs w:val="22"/>
              </w:rPr>
              <w:t>Pretest</w:t>
            </w:r>
          </w:p>
        </w:tc>
        <w:tc>
          <w:tcPr>
            <w:tcW w:w="3023" w:type="dxa"/>
            <w:tcBorders>
              <w:left w:val="nil"/>
              <w:right w:val="nil"/>
            </w:tcBorders>
          </w:tcPr>
          <w:p w:rsidR="00BB2761" w:rsidRPr="00524AE2" w:rsidRDefault="00BB2761" w:rsidP="001503CF">
            <w:pPr>
              <w:spacing w:line="360" w:lineRule="auto"/>
              <w:jc w:val="center"/>
              <w:rPr>
                <w:b/>
                <w:sz w:val="22"/>
                <w:szCs w:val="22"/>
              </w:rPr>
            </w:pPr>
            <w:r w:rsidRPr="00524AE2">
              <w:rPr>
                <w:b/>
                <w:sz w:val="22"/>
                <w:szCs w:val="22"/>
              </w:rPr>
              <w:t>Variable independiente</w:t>
            </w:r>
          </w:p>
        </w:tc>
        <w:tc>
          <w:tcPr>
            <w:tcW w:w="1056" w:type="dxa"/>
            <w:tcBorders>
              <w:left w:val="nil"/>
              <w:right w:val="nil"/>
            </w:tcBorders>
          </w:tcPr>
          <w:p w:rsidR="00BB2761" w:rsidRPr="00524AE2" w:rsidRDefault="00BB2761" w:rsidP="001503CF">
            <w:pPr>
              <w:spacing w:line="360" w:lineRule="auto"/>
              <w:jc w:val="center"/>
              <w:rPr>
                <w:b/>
                <w:sz w:val="22"/>
                <w:szCs w:val="22"/>
              </w:rPr>
            </w:pPr>
            <w:r w:rsidRPr="00524AE2">
              <w:rPr>
                <w:b/>
                <w:sz w:val="22"/>
                <w:szCs w:val="22"/>
              </w:rPr>
              <w:t>Postest</w:t>
            </w:r>
          </w:p>
        </w:tc>
      </w:tr>
      <w:tr w:rsidR="00BB2761" w:rsidRPr="00524AE2" w:rsidTr="00524AE2">
        <w:trPr>
          <w:jc w:val="center"/>
        </w:trPr>
        <w:tc>
          <w:tcPr>
            <w:tcW w:w="1931" w:type="dxa"/>
            <w:tcBorders>
              <w:left w:val="nil"/>
              <w:bottom w:val="nil"/>
              <w:right w:val="nil"/>
            </w:tcBorders>
          </w:tcPr>
          <w:p w:rsidR="00BB2761" w:rsidRPr="00524AE2" w:rsidRDefault="00BB2761" w:rsidP="001503CF">
            <w:pPr>
              <w:spacing w:line="360" w:lineRule="auto"/>
              <w:jc w:val="center"/>
              <w:rPr>
                <w:sz w:val="22"/>
                <w:szCs w:val="22"/>
              </w:rPr>
            </w:pPr>
            <w:r w:rsidRPr="00524AE2">
              <w:rPr>
                <w:sz w:val="22"/>
                <w:szCs w:val="22"/>
              </w:rPr>
              <w:lastRenderedPageBreak/>
              <w:t>Experimental</w:t>
            </w:r>
          </w:p>
        </w:tc>
        <w:tc>
          <w:tcPr>
            <w:tcW w:w="1141" w:type="dxa"/>
            <w:tcBorders>
              <w:left w:val="nil"/>
              <w:bottom w:val="nil"/>
              <w:right w:val="nil"/>
            </w:tcBorders>
          </w:tcPr>
          <w:p w:rsidR="00BB2761" w:rsidRPr="00524AE2" w:rsidRDefault="00BB2761" w:rsidP="001503CF">
            <w:pPr>
              <w:spacing w:line="360" w:lineRule="auto"/>
              <w:jc w:val="center"/>
              <w:rPr>
                <w:sz w:val="22"/>
                <w:szCs w:val="22"/>
              </w:rPr>
            </w:pPr>
            <w:r w:rsidRPr="00524AE2">
              <w:rPr>
                <w:sz w:val="22"/>
                <w:szCs w:val="22"/>
              </w:rPr>
              <w:t>20</w:t>
            </w:r>
          </w:p>
        </w:tc>
        <w:tc>
          <w:tcPr>
            <w:tcW w:w="1343" w:type="dxa"/>
            <w:tcBorders>
              <w:left w:val="nil"/>
              <w:bottom w:val="nil"/>
              <w:right w:val="nil"/>
            </w:tcBorders>
          </w:tcPr>
          <w:p w:rsidR="00BB2761" w:rsidRPr="00524AE2" w:rsidRDefault="00BB2761" w:rsidP="001503CF">
            <w:pPr>
              <w:spacing w:line="360" w:lineRule="auto"/>
              <w:jc w:val="center"/>
              <w:rPr>
                <w:sz w:val="22"/>
                <w:szCs w:val="22"/>
              </w:rPr>
            </w:pPr>
            <w:r w:rsidRPr="00524AE2">
              <w:rPr>
                <w:sz w:val="22"/>
                <w:szCs w:val="22"/>
              </w:rPr>
              <w:t>SI</w:t>
            </w:r>
          </w:p>
        </w:tc>
        <w:tc>
          <w:tcPr>
            <w:tcW w:w="3023" w:type="dxa"/>
            <w:tcBorders>
              <w:left w:val="nil"/>
              <w:bottom w:val="nil"/>
              <w:right w:val="nil"/>
            </w:tcBorders>
          </w:tcPr>
          <w:p w:rsidR="00BB2761" w:rsidRPr="00524AE2" w:rsidRDefault="00BB2761" w:rsidP="001503CF">
            <w:pPr>
              <w:spacing w:line="360" w:lineRule="auto"/>
              <w:jc w:val="center"/>
              <w:rPr>
                <w:sz w:val="22"/>
                <w:szCs w:val="22"/>
              </w:rPr>
            </w:pPr>
            <w:r w:rsidRPr="00524AE2">
              <w:rPr>
                <w:sz w:val="22"/>
                <w:szCs w:val="22"/>
              </w:rPr>
              <w:t>Indagación guiada</w:t>
            </w:r>
          </w:p>
        </w:tc>
        <w:tc>
          <w:tcPr>
            <w:tcW w:w="1056" w:type="dxa"/>
            <w:tcBorders>
              <w:left w:val="nil"/>
              <w:bottom w:val="nil"/>
              <w:right w:val="nil"/>
            </w:tcBorders>
          </w:tcPr>
          <w:p w:rsidR="00BB2761" w:rsidRPr="00524AE2" w:rsidRDefault="00BB2761" w:rsidP="001503CF">
            <w:pPr>
              <w:spacing w:line="360" w:lineRule="auto"/>
              <w:jc w:val="center"/>
              <w:rPr>
                <w:sz w:val="22"/>
                <w:szCs w:val="22"/>
              </w:rPr>
            </w:pPr>
            <w:r w:rsidRPr="00524AE2">
              <w:rPr>
                <w:sz w:val="22"/>
                <w:szCs w:val="22"/>
              </w:rPr>
              <w:t>SI</w:t>
            </w:r>
          </w:p>
        </w:tc>
      </w:tr>
      <w:tr w:rsidR="00BB2761" w:rsidRPr="00524AE2" w:rsidTr="00524AE2">
        <w:trPr>
          <w:jc w:val="center"/>
        </w:trPr>
        <w:tc>
          <w:tcPr>
            <w:tcW w:w="1931" w:type="dxa"/>
            <w:tcBorders>
              <w:top w:val="nil"/>
              <w:left w:val="nil"/>
              <w:right w:val="nil"/>
            </w:tcBorders>
          </w:tcPr>
          <w:p w:rsidR="00BB2761" w:rsidRPr="00524AE2" w:rsidRDefault="00BB2761" w:rsidP="001503CF">
            <w:pPr>
              <w:spacing w:line="360" w:lineRule="auto"/>
              <w:jc w:val="center"/>
              <w:rPr>
                <w:sz w:val="22"/>
                <w:szCs w:val="22"/>
              </w:rPr>
            </w:pPr>
            <w:r w:rsidRPr="00524AE2">
              <w:rPr>
                <w:sz w:val="22"/>
                <w:szCs w:val="22"/>
              </w:rPr>
              <w:t>Control</w:t>
            </w:r>
          </w:p>
        </w:tc>
        <w:tc>
          <w:tcPr>
            <w:tcW w:w="1141" w:type="dxa"/>
            <w:tcBorders>
              <w:top w:val="nil"/>
              <w:left w:val="nil"/>
              <w:right w:val="nil"/>
            </w:tcBorders>
          </w:tcPr>
          <w:p w:rsidR="00BB2761" w:rsidRPr="00524AE2" w:rsidRDefault="00BB2761" w:rsidP="001503CF">
            <w:pPr>
              <w:spacing w:line="360" w:lineRule="auto"/>
              <w:jc w:val="center"/>
              <w:rPr>
                <w:sz w:val="22"/>
                <w:szCs w:val="22"/>
              </w:rPr>
            </w:pPr>
            <w:r w:rsidRPr="00524AE2">
              <w:rPr>
                <w:sz w:val="22"/>
                <w:szCs w:val="22"/>
              </w:rPr>
              <w:t>40</w:t>
            </w:r>
          </w:p>
        </w:tc>
        <w:tc>
          <w:tcPr>
            <w:tcW w:w="1343" w:type="dxa"/>
            <w:tcBorders>
              <w:top w:val="nil"/>
              <w:left w:val="nil"/>
              <w:right w:val="nil"/>
            </w:tcBorders>
          </w:tcPr>
          <w:p w:rsidR="00BB2761" w:rsidRPr="00524AE2" w:rsidRDefault="00BB2761" w:rsidP="001503CF">
            <w:pPr>
              <w:spacing w:line="360" w:lineRule="auto"/>
              <w:jc w:val="center"/>
              <w:rPr>
                <w:sz w:val="22"/>
                <w:szCs w:val="22"/>
              </w:rPr>
            </w:pPr>
            <w:r w:rsidRPr="00524AE2">
              <w:rPr>
                <w:sz w:val="22"/>
                <w:szCs w:val="22"/>
              </w:rPr>
              <w:t>SI</w:t>
            </w:r>
          </w:p>
        </w:tc>
        <w:tc>
          <w:tcPr>
            <w:tcW w:w="3023" w:type="dxa"/>
            <w:tcBorders>
              <w:top w:val="nil"/>
              <w:left w:val="nil"/>
              <w:right w:val="nil"/>
            </w:tcBorders>
          </w:tcPr>
          <w:p w:rsidR="00BB2761" w:rsidRPr="00524AE2" w:rsidRDefault="00BB2761" w:rsidP="001503CF">
            <w:pPr>
              <w:spacing w:line="360" w:lineRule="auto"/>
              <w:jc w:val="center"/>
              <w:rPr>
                <w:sz w:val="22"/>
                <w:szCs w:val="22"/>
              </w:rPr>
            </w:pPr>
            <w:r w:rsidRPr="00524AE2">
              <w:rPr>
                <w:sz w:val="22"/>
                <w:szCs w:val="22"/>
              </w:rPr>
              <w:t>Instrucción tradicional</w:t>
            </w:r>
          </w:p>
        </w:tc>
        <w:tc>
          <w:tcPr>
            <w:tcW w:w="1056" w:type="dxa"/>
            <w:tcBorders>
              <w:top w:val="nil"/>
              <w:left w:val="nil"/>
              <w:right w:val="nil"/>
            </w:tcBorders>
          </w:tcPr>
          <w:p w:rsidR="00BB2761" w:rsidRPr="00524AE2" w:rsidRDefault="00BB2761" w:rsidP="001503CF">
            <w:pPr>
              <w:spacing w:line="360" w:lineRule="auto"/>
              <w:jc w:val="center"/>
              <w:rPr>
                <w:sz w:val="22"/>
                <w:szCs w:val="22"/>
              </w:rPr>
            </w:pPr>
            <w:r w:rsidRPr="00524AE2">
              <w:rPr>
                <w:sz w:val="22"/>
                <w:szCs w:val="22"/>
              </w:rPr>
              <w:t>SI</w:t>
            </w:r>
          </w:p>
        </w:tc>
      </w:tr>
    </w:tbl>
    <w:p w:rsidR="00BB2761" w:rsidRPr="00BB2761" w:rsidRDefault="00BB2761" w:rsidP="00BB2761">
      <w:pPr>
        <w:spacing w:line="360" w:lineRule="auto"/>
        <w:jc w:val="center"/>
        <w:rPr>
          <w:szCs w:val="20"/>
        </w:rPr>
      </w:pPr>
      <w:r w:rsidRPr="00BB2761">
        <w:rPr>
          <w:szCs w:val="20"/>
        </w:rPr>
        <w:t>Fuente: Elaboración propia</w:t>
      </w:r>
    </w:p>
    <w:p w:rsidR="00BB2761" w:rsidRDefault="00BB2761" w:rsidP="005A231F">
      <w:pPr>
        <w:pStyle w:val="TextoNormal"/>
        <w:ind w:firstLine="0"/>
        <w:rPr>
          <w:b/>
        </w:rPr>
      </w:pPr>
      <w:r>
        <w:rPr>
          <w:b/>
        </w:rPr>
        <w:t>4.1 Análisis del instrumento</w:t>
      </w:r>
    </w:p>
    <w:p w:rsidR="003A7C83" w:rsidRDefault="003A7C83" w:rsidP="005A231F">
      <w:pPr>
        <w:pStyle w:val="TextoNormal"/>
        <w:ind w:firstLine="0"/>
        <w:rPr>
          <w:b/>
        </w:rPr>
      </w:pPr>
    </w:p>
    <w:p w:rsidR="00BB2761" w:rsidRDefault="00BB2761" w:rsidP="00BB2761">
      <w:pPr>
        <w:ind w:firstLine="567"/>
        <w:rPr>
          <w:sz w:val="24"/>
        </w:rPr>
      </w:pPr>
      <w:r>
        <w:rPr>
          <w:sz w:val="24"/>
        </w:rPr>
        <w:t>El instrumento para medir la competencia científica de los estudiantes c</w:t>
      </w:r>
      <w:r w:rsidR="00200B1D">
        <w:rPr>
          <w:sz w:val="24"/>
        </w:rPr>
        <w:t>onsistió en una prueba objetiva, cuyo piloto</w:t>
      </w:r>
      <w:r>
        <w:rPr>
          <w:sz w:val="24"/>
        </w:rPr>
        <w:t xml:space="preserve"> se testó en el curso 2017-18 con el objetivo de medir y mejorar su fiabilidad. Analizando los resultados, se modificaron algunos ítems y se eliminaron otros, de </w:t>
      </w:r>
      <w:proofErr w:type="gramStart"/>
      <w:r>
        <w:rPr>
          <w:sz w:val="24"/>
        </w:rPr>
        <w:t>tal</w:t>
      </w:r>
      <w:proofErr w:type="gramEnd"/>
      <w:r>
        <w:rPr>
          <w:sz w:val="24"/>
        </w:rPr>
        <w:t xml:space="preserve"> forma que se redujo el tamaño de la prueba de 36 ítems iniciales a 24 ítems en la versión final. Se decidió utilizar el mismo instrumento tanto para el pretest </w:t>
      </w:r>
      <w:proofErr w:type="gramStart"/>
      <w:r>
        <w:rPr>
          <w:sz w:val="24"/>
        </w:rPr>
        <w:t>como</w:t>
      </w:r>
      <w:proofErr w:type="gramEnd"/>
      <w:r>
        <w:rPr>
          <w:sz w:val="24"/>
        </w:rPr>
        <w:t xml:space="preserve"> para el postest debido a que el tiempo transcurrido entre las dos pruebas, de 9 meses, es suficientemente amplio como para que la influencia del factor recuerdo no contamine los resultados. </w:t>
      </w:r>
    </w:p>
    <w:p w:rsidR="00BB2761" w:rsidRPr="0018704F" w:rsidRDefault="00BB2761" w:rsidP="00BB2761">
      <w:pPr>
        <w:ind w:firstLine="567"/>
        <w:rPr>
          <w:sz w:val="24"/>
        </w:rPr>
      </w:pPr>
      <w:r w:rsidRPr="0018704F">
        <w:rPr>
          <w:sz w:val="24"/>
        </w:rPr>
        <w:t>Para obtener una prueba óptima es necesa</w:t>
      </w:r>
      <w:r>
        <w:rPr>
          <w:sz w:val="24"/>
        </w:rPr>
        <w:t xml:space="preserve">rio analizar sus elementos con el objetivo de </w:t>
      </w:r>
      <w:r w:rsidRPr="0018704F">
        <w:rPr>
          <w:sz w:val="24"/>
        </w:rPr>
        <w:t xml:space="preserve">asegurar una buena fiabilidad y validez con el menor número posible de ellos. La fiabilidad se identifica con la precisión en la medida y nos garantiza que obtendremos puntuaciones similares cada vez que utilicemos la misma prueba. Una fiabilidad </w:t>
      </w:r>
      <w:proofErr w:type="gramStart"/>
      <w:r w:rsidRPr="0018704F">
        <w:rPr>
          <w:sz w:val="24"/>
        </w:rPr>
        <w:t>alta</w:t>
      </w:r>
      <w:proofErr w:type="gramEnd"/>
      <w:r w:rsidRPr="0018704F">
        <w:rPr>
          <w:sz w:val="24"/>
        </w:rPr>
        <w:t xml:space="preserve"> en el test nos indica que la muestra de sujetos se ordena en función de su nivel de competencia científica. </w:t>
      </w:r>
      <w:r>
        <w:rPr>
          <w:sz w:val="24"/>
        </w:rPr>
        <w:t xml:space="preserve">La validez, por su parte, nos asegura que el test mide realmente aquello que dice medir. </w:t>
      </w:r>
    </w:p>
    <w:p w:rsidR="00BB2761" w:rsidRPr="0076616A" w:rsidRDefault="00BB2761" w:rsidP="00BB2761">
      <w:pPr>
        <w:ind w:firstLine="567"/>
        <w:rPr>
          <w:sz w:val="24"/>
        </w:rPr>
      </w:pPr>
      <w:r>
        <w:rPr>
          <w:sz w:val="24"/>
        </w:rPr>
        <w:t xml:space="preserve">En lo referente a la validez, se estudió la validez de contenido a partir </w:t>
      </w:r>
      <w:proofErr w:type="gramStart"/>
      <w:r>
        <w:rPr>
          <w:sz w:val="24"/>
        </w:rPr>
        <w:t>del</w:t>
      </w:r>
      <w:proofErr w:type="gramEnd"/>
      <w:r>
        <w:rPr>
          <w:sz w:val="24"/>
        </w:rPr>
        <w:t xml:space="preserve"> análisis de los elementos de la prueba por pa</w:t>
      </w:r>
      <w:r w:rsidR="00ED6D01">
        <w:rPr>
          <w:sz w:val="24"/>
        </w:rPr>
        <w:t xml:space="preserve">rte de cuatro </w:t>
      </w:r>
      <w:r w:rsidR="00200B1D">
        <w:rPr>
          <w:sz w:val="24"/>
        </w:rPr>
        <w:t>profesores</w:t>
      </w:r>
      <w:r>
        <w:rPr>
          <w:sz w:val="24"/>
        </w:rPr>
        <w:t xml:space="preserve"> del Departamento de Biología y Geología. El objetivo de dicho análisis fue buscar relaciones entre las dimensiones de la competencia científica, sus habilidades concretas, y el tipo de conocimiento que subyacen en cada ítem, con el objeto de establecer si la prueba diseñada seguía las recomendaciones de las pruebas PISA en cuanto a la distribución de dimensiones y de tipos de conocimiento. El proceso empezó con la descripción de las habilidades o procesos que cada uno de los ítems demandaba. A continuación, se relacionaron dichos procesos con las tres dimensiones de la competencia científica. En paralelo, se clasificaron los citados procesos según el tipo de conocimiento que requerían. En el caso </w:t>
      </w:r>
      <w:proofErr w:type="gramStart"/>
      <w:r>
        <w:rPr>
          <w:sz w:val="24"/>
        </w:rPr>
        <w:t>del</w:t>
      </w:r>
      <w:proofErr w:type="gramEnd"/>
      <w:r>
        <w:rPr>
          <w:sz w:val="24"/>
        </w:rPr>
        <w:t xml:space="preserve"> conocimiento de contenido, este tipo se subdividió en dos bloques, los sistemas terrestre y espacial, por un lado, y los seres vivos, por otro. El resultado </w:t>
      </w:r>
      <w:proofErr w:type="gramStart"/>
      <w:r>
        <w:rPr>
          <w:sz w:val="24"/>
        </w:rPr>
        <w:t>del</w:t>
      </w:r>
      <w:proofErr w:type="gramEnd"/>
      <w:r>
        <w:rPr>
          <w:sz w:val="24"/>
        </w:rPr>
        <w:t xml:space="preserve"> análisis (tabla 2) nos lleva a establecer que la distribución de ítems por dimensiones es bastante similar a la que muestran las pruebas PISA para la competencia científica. En el test, los porcentajes para las dimensiones explicar fenómenos científicamente, evaluar y diseñar la investigación científica e interpretar datos y pruebas científicamente, son respectivamente 50 %, 25 % y 25 %. En PISA, estos porcentajes son 40-50 %, 20-30 % y 30-40 %, respectivamente. En cuanto a la distribución deseada de ítems por tipo de conocimiento, PISA recomienda 54-66 %, 19-31 % y 10-22 % para conocimiento de contenido, procedimental y epistémico, respectivamente. En la prueba, la distribución fue 79 %, 17 % y 4 %</w:t>
      </w:r>
      <w:r w:rsidR="00200B1D">
        <w:rPr>
          <w:sz w:val="24"/>
        </w:rPr>
        <w:t>, respectivamente</w:t>
      </w:r>
      <w:r>
        <w:rPr>
          <w:sz w:val="24"/>
        </w:rPr>
        <w:t xml:space="preserve">. En </w:t>
      </w:r>
      <w:proofErr w:type="gramStart"/>
      <w:r>
        <w:rPr>
          <w:sz w:val="24"/>
        </w:rPr>
        <w:t>este</w:t>
      </w:r>
      <w:proofErr w:type="gramEnd"/>
      <w:r>
        <w:rPr>
          <w:sz w:val="24"/>
        </w:rPr>
        <w:t xml:space="preserve"> caso, hay un mayor peso de los conocimientos de contenido y un menor peso de los conocimientos epistémicos. Esto se justifica por dos motivos. Primero, los conocimientos seleccionados son los contenidos propios de la materia de Biología y Geología. Segundo, el conocimiento epistémico es el más complejo de los tres tipos, y debe ser introducido progresivamente </w:t>
      </w:r>
      <w:proofErr w:type="gramStart"/>
      <w:r>
        <w:rPr>
          <w:sz w:val="24"/>
        </w:rPr>
        <w:t>a lo</w:t>
      </w:r>
      <w:proofErr w:type="gramEnd"/>
      <w:r>
        <w:rPr>
          <w:sz w:val="24"/>
        </w:rPr>
        <w:t xml:space="preserve"> largo de la ESO. En este sentido</w:t>
      </w:r>
      <w:r w:rsidRPr="0076616A">
        <w:rPr>
          <w:sz w:val="24"/>
        </w:rPr>
        <w:t>, esta di</w:t>
      </w:r>
      <w:r>
        <w:rPr>
          <w:sz w:val="24"/>
        </w:rPr>
        <w:t xml:space="preserve">stribución es coherente con un momento inicial de </w:t>
      </w:r>
      <w:r w:rsidRPr="0076616A">
        <w:rPr>
          <w:sz w:val="24"/>
        </w:rPr>
        <w:t>instrucció</w:t>
      </w:r>
      <w:r>
        <w:rPr>
          <w:sz w:val="24"/>
        </w:rPr>
        <w:t xml:space="preserve">n </w:t>
      </w:r>
      <w:r w:rsidRPr="0076616A">
        <w:rPr>
          <w:sz w:val="24"/>
        </w:rPr>
        <w:t>de la competencia cientí</w:t>
      </w:r>
      <w:r>
        <w:rPr>
          <w:sz w:val="24"/>
        </w:rPr>
        <w:t>fica a través de la indagación que, en cursos posteriores, deberá ir modificándose a medida que los estudiantes adquieran experiencia con dicha metodología.</w:t>
      </w:r>
    </w:p>
    <w:p w:rsidR="00BB2761" w:rsidRPr="00BB2761" w:rsidRDefault="00BB2761" w:rsidP="005A231F">
      <w:pPr>
        <w:pStyle w:val="TextoNormal"/>
        <w:ind w:firstLine="0"/>
      </w:pPr>
    </w:p>
    <w:p w:rsidR="007C2439" w:rsidRDefault="007C2439" w:rsidP="007C2439">
      <w:pPr>
        <w:pStyle w:val="phmfigures"/>
        <w:spacing w:before="0"/>
        <w:ind w:firstLine="0"/>
        <w:rPr>
          <w:lang w:eastAsia="es-ES"/>
        </w:rPr>
      </w:pPr>
      <w:r>
        <w:rPr>
          <w:b/>
          <w:smallCaps/>
          <w:sz w:val="22"/>
        </w:rPr>
        <w:t>Tabla</w:t>
      </w:r>
      <w:r w:rsidRPr="000156AB">
        <w:rPr>
          <w:b/>
          <w:smallCaps/>
          <w:sz w:val="22"/>
        </w:rPr>
        <w:t xml:space="preserve"> </w:t>
      </w:r>
      <w:r w:rsidRPr="000156AB">
        <w:rPr>
          <w:b/>
          <w:smallCaps/>
          <w:noProof w:val="0"/>
          <w:sz w:val="22"/>
        </w:rPr>
        <w:fldChar w:fldCharType="begin"/>
      </w:r>
      <w:r w:rsidRPr="000156AB">
        <w:rPr>
          <w:b/>
          <w:smallCaps/>
          <w:sz w:val="22"/>
        </w:rPr>
        <w:instrText xml:space="preserve"> SEQ Figure \* ARABIC </w:instrText>
      </w:r>
      <w:r w:rsidRPr="000156AB">
        <w:rPr>
          <w:b/>
          <w:smallCaps/>
          <w:noProof w:val="0"/>
          <w:sz w:val="22"/>
        </w:rPr>
        <w:fldChar w:fldCharType="separate"/>
      </w:r>
      <w:r>
        <w:rPr>
          <w:b/>
          <w:smallCaps/>
          <w:sz w:val="22"/>
        </w:rPr>
        <w:t>2</w:t>
      </w:r>
      <w:r w:rsidRPr="000156AB">
        <w:rPr>
          <w:b/>
          <w:smallCaps/>
          <w:sz w:val="22"/>
        </w:rPr>
        <w:fldChar w:fldCharType="end"/>
      </w:r>
      <w:r w:rsidRPr="000156AB">
        <w:rPr>
          <w:b/>
          <w:smallCaps/>
          <w:sz w:val="22"/>
        </w:rPr>
        <w:t>.</w:t>
      </w:r>
      <w:r>
        <w:rPr>
          <w:b/>
          <w:smallCaps/>
          <w:sz w:val="22"/>
        </w:rPr>
        <w:t xml:space="preserve"> </w:t>
      </w:r>
      <w:r>
        <w:rPr>
          <w:sz w:val="22"/>
        </w:rPr>
        <w:t>Dimensiones y tipos de conocimiento de los ítems de la prueba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6"/>
        <w:gridCol w:w="3032"/>
        <w:gridCol w:w="2317"/>
        <w:gridCol w:w="1695"/>
      </w:tblGrid>
      <w:tr w:rsidR="007C2439" w:rsidRPr="00524AE2" w:rsidTr="006B0969">
        <w:trPr>
          <w:jc w:val="center"/>
        </w:trPr>
        <w:tc>
          <w:tcPr>
            <w:tcW w:w="1646" w:type="dxa"/>
            <w:tcBorders>
              <w:left w:val="nil"/>
              <w:right w:val="nil"/>
            </w:tcBorders>
          </w:tcPr>
          <w:p w:rsidR="007C2439" w:rsidRPr="00524AE2" w:rsidRDefault="007C2439" w:rsidP="001503CF">
            <w:pPr>
              <w:rPr>
                <w:sz w:val="22"/>
                <w:szCs w:val="22"/>
              </w:rPr>
            </w:pPr>
          </w:p>
        </w:tc>
        <w:tc>
          <w:tcPr>
            <w:tcW w:w="5349" w:type="dxa"/>
            <w:gridSpan w:val="2"/>
            <w:tcBorders>
              <w:left w:val="nil"/>
              <w:right w:val="nil"/>
            </w:tcBorders>
          </w:tcPr>
          <w:p w:rsidR="007C2439" w:rsidRPr="00524AE2" w:rsidRDefault="007C2439" w:rsidP="001503CF">
            <w:pPr>
              <w:pStyle w:val="Textbody"/>
              <w:spacing w:after="113"/>
              <w:jc w:val="center"/>
              <w:rPr>
                <w:b/>
                <w:sz w:val="22"/>
                <w:szCs w:val="22"/>
              </w:rPr>
            </w:pPr>
            <w:r w:rsidRPr="00524AE2">
              <w:rPr>
                <w:b/>
                <w:sz w:val="22"/>
                <w:szCs w:val="22"/>
              </w:rPr>
              <w:t>Conocimiento de contenido</w:t>
            </w:r>
          </w:p>
          <w:p w:rsidR="007C2439" w:rsidRPr="00524AE2" w:rsidRDefault="007C2439" w:rsidP="001503CF">
            <w:pPr>
              <w:rPr>
                <w:sz w:val="22"/>
                <w:szCs w:val="22"/>
              </w:rPr>
            </w:pPr>
            <w:r w:rsidRPr="00524AE2">
              <w:rPr>
                <w:sz w:val="22"/>
                <w:szCs w:val="22"/>
              </w:rPr>
              <w:t>Sistemas terrestre                              Sistemas vivos</w:t>
            </w:r>
          </w:p>
          <w:p w:rsidR="007C2439" w:rsidRPr="00524AE2" w:rsidRDefault="007C2439" w:rsidP="001503CF">
            <w:pPr>
              <w:rPr>
                <w:sz w:val="22"/>
                <w:szCs w:val="22"/>
              </w:rPr>
            </w:pPr>
            <w:r w:rsidRPr="00524AE2">
              <w:rPr>
                <w:sz w:val="22"/>
                <w:szCs w:val="22"/>
              </w:rPr>
              <w:t xml:space="preserve"> y espacial (12 ítems)                         (7 ítems)              </w:t>
            </w:r>
          </w:p>
        </w:tc>
        <w:tc>
          <w:tcPr>
            <w:tcW w:w="1695" w:type="dxa"/>
            <w:tcBorders>
              <w:left w:val="nil"/>
              <w:right w:val="nil"/>
            </w:tcBorders>
          </w:tcPr>
          <w:p w:rsidR="007C2439" w:rsidRPr="00524AE2" w:rsidRDefault="007C2439" w:rsidP="001503CF">
            <w:pPr>
              <w:rPr>
                <w:b/>
                <w:sz w:val="22"/>
                <w:szCs w:val="22"/>
              </w:rPr>
            </w:pPr>
            <w:r w:rsidRPr="00524AE2">
              <w:rPr>
                <w:b/>
                <w:sz w:val="22"/>
                <w:szCs w:val="22"/>
              </w:rPr>
              <w:t>Conocimientos procedimental y epistémico</w:t>
            </w:r>
          </w:p>
          <w:p w:rsidR="007C2439" w:rsidRPr="00524AE2" w:rsidRDefault="007C2439" w:rsidP="001503CF">
            <w:pPr>
              <w:rPr>
                <w:sz w:val="22"/>
                <w:szCs w:val="22"/>
              </w:rPr>
            </w:pPr>
            <w:r w:rsidRPr="00524AE2">
              <w:rPr>
                <w:sz w:val="22"/>
                <w:szCs w:val="22"/>
              </w:rPr>
              <w:t>(5 ítems)</w:t>
            </w:r>
          </w:p>
        </w:tc>
      </w:tr>
      <w:tr w:rsidR="007C2439" w:rsidRPr="00524AE2" w:rsidTr="006B0969">
        <w:trPr>
          <w:jc w:val="center"/>
        </w:trPr>
        <w:tc>
          <w:tcPr>
            <w:tcW w:w="1646" w:type="dxa"/>
            <w:tcBorders>
              <w:left w:val="nil"/>
              <w:right w:val="nil"/>
            </w:tcBorders>
          </w:tcPr>
          <w:p w:rsidR="007C2439" w:rsidRPr="00524AE2" w:rsidRDefault="007C2439" w:rsidP="001503CF">
            <w:pPr>
              <w:rPr>
                <w:b/>
                <w:sz w:val="22"/>
                <w:szCs w:val="22"/>
              </w:rPr>
            </w:pPr>
            <w:r w:rsidRPr="00524AE2">
              <w:rPr>
                <w:b/>
                <w:sz w:val="22"/>
                <w:szCs w:val="22"/>
              </w:rPr>
              <w:lastRenderedPageBreak/>
              <w:t>Explicar fenómenos científicamente</w:t>
            </w:r>
          </w:p>
          <w:p w:rsidR="007C2439" w:rsidRPr="00524AE2" w:rsidRDefault="007C2439" w:rsidP="001503CF">
            <w:pPr>
              <w:rPr>
                <w:sz w:val="22"/>
                <w:szCs w:val="22"/>
              </w:rPr>
            </w:pPr>
            <w:r w:rsidRPr="00524AE2">
              <w:rPr>
                <w:sz w:val="22"/>
                <w:szCs w:val="22"/>
              </w:rPr>
              <w:t>(12 ítems)</w:t>
            </w:r>
          </w:p>
        </w:tc>
        <w:tc>
          <w:tcPr>
            <w:tcW w:w="3032" w:type="dxa"/>
            <w:tcBorders>
              <w:left w:val="nil"/>
              <w:right w:val="nil"/>
            </w:tcBorders>
          </w:tcPr>
          <w:p w:rsidR="007C2439" w:rsidRPr="00524AE2" w:rsidRDefault="007C2439" w:rsidP="001503CF">
            <w:pPr>
              <w:rPr>
                <w:sz w:val="22"/>
                <w:szCs w:val="22"/>
              </w:rPr>
            </w:pPr>
            <w:r w:rsidRPr="00524AE2">
              <w:rPr>
                <w:sz w:val="22"/>
                <w:szCs w:val="22"/>
              </w:rPr>
              <w:t>Ítem 2: interpretar y explicar un fenómeno</w:t>
            </w:r>
          </w:p>
          <w:p w:rsidR="007C2439" w:rsidRPr="00524AE2" w:rsidRDefault="007C2439" w:rsidP="001503CF">
            <w:pPr>
              <w:rPr>
                <w:sz w:val="22"/>
                <w:szCs w:val="22"/>
              </w:rPr>
            </w:pPr>
            <w:r w:rsidRPr="00524AE2">
              <w:rPr>
                <w:sz w:val="22"/>
                <w:szCs w:val="22"/>
              </w:rPr>
              <w:t>Ítem 7: identificar predicciones adecuadas</w:t>
            </w:r>
          </w:p>
          <w:p w:rsidR="007C2439" w:rsidRPr="00524AE2" w:rsidRDefault="007C2439" w:rsidP="001503CF">
            <w:pPr>
              <w:rPr>
                <w:sz w:val="22"/>
                <w:szCs w:val="22"/>
              </w:rPr>
            </w:pPr>
            <w:r w:rsidRPr="00524AE2">
              <w:rPr>
                <w:sz w:val="22"/>
                <w:szCs w:val="22"/>
              </w:rPr>
              <w:t>Ítems 8 y 9: reconocer la explicación adecuada</w:t>
            </w:r>
          </w:p>
          <w:p w:rsidR="007C2439" w:rsidRPr="00524AE2" w:rsidRDefault="007C2439" w:rsidP="001503CF">
            <w:pPr>
              <w:rPr>
                <w:sz w:val="22"/>
                <w:szCs w:val="22"/>
              </w:rPr>
            </w:pPr>
            <w:r w:rsidRPr="00524AE2">
              <w:rPr>
                <w:sz w:val="22"/>
                <w:szCs w:val="22"/>
              </w:rPr>
              <w:t>Ítem 10: interpretar fenómenos y predecir posibles cambios</w:t>
            </w:r>
          </w:p>
          <w:p w:rsidR="007C2439" w:rsidRPr="00524AE2" w:rsidRDefault="007C2439" w:rsidP="001503CF">
            <w:pPr>
              <w:rPr>
                <w:sz w:val="22"/>
                <w:szCs w:val="22"/>
              </w:rPr>
            </w:pPr>
            <w:r w:rsidRPr="00524AE2">
              <w:rPr>
                <w:sz w:val="22"/>
                <w:szCs w:val="22"/>
              </w:rPr>
              <w:t>Ítem 13: identificar y utilizar modelos explicativos</w:t>
            </w:r>
          </w:p>
          <w:p w:rsidR="007C2439" w:rsidRPr="00524AE2" w:rsidRDefault="007C2439" w:rsidP="001503CF">
            <w:pPr>
              <w:rPr>
                <w:sz w:val="22"/>
                <w:szCs w:val="22"/>
              </w:rPr>
            </w:pPr>
            <w:r w:rsidRPr="00524AE2">
              <w:rPr>
                <w:sz w:val="22"/>
                <w:szCs w:val="22"/>
              </w:rPr>
              <w:t>Ítem 19: reconocer y aplicar el conocimiento para explicar un fenómeno</w:t>
            </w:r>
          </w:p>
        </w:tc>
        <w:tc>
          <w:tcPr>
            <w:tcW w:w="2317" w:type="dxa"/>
            <w:tcBorders>
              <w:left w:val="nil"/>
              <w:right w:val="nil"/>
            </w:tcBorders>
          </w:tcPr>
          <w:p w:rsidR="007C2439" w:rsidRPr="00524AE2" w:rsidRDefault="007C2439" w:rsidP="001503CF">
            <w:pPr>
              <w:rPr>
                <w:sz w:val="22"/>
                <w:szCs w:val="22"/>
              </w:rPr>
            </w:pPr>
            <w:r w:rsidRPr="00524AE2">
              <w:rPr>
                <w:sz w:val="22"/>
                <w:szCs w:val="22"/>
              </w:rPr>
              <w:t>Ítem 14: interpretar fenómenos</w:t>
            </w:r>
          </w:p>
          <w:p w:rsidR="007C2439" w:rsidRPr="00524AE2" w:rsidRDefault="007C2439" w:rsidP="001503CF">
            <w:pPr>
              <w:rPr>
                <w:sz w:val="22"/>
                <w:szCs w:val="22"/>
              </w:rPr>
            </w:pPr>
            <w:r w:rsidRPr="00524AE2">
              <w:rPr>
                <w:sz w:val="22"/>
                <w:szCs w:val="22"/>
              </w:rPr>
              <w:t>Ítem 15: interpretar fenómenos y predecir cambios</w:t>
            </w:r>
          </w:p>
          <w:p w:rsidR="007C2439" w:rsidRPr="00524AE2" w:rsidRDefault="007C2439" w:rsidP="001503CF">
            <w:pPr>
              <w:rPr>
                <w:sz w:val="22"/>
                <w:szCs w:val="22"/>
              </w:rPr>
            </w:pPr>
            <w:r w:rsidRPr="00524AE2">
              <w:rPr>
                <w:sz w:val="22"/>
                <w:szCs w:val="22"/>
              </w:rPr>
              <w:t>Ítems 20, 21 y 24: reconocer y aplicar el conocimiento científico para explicar un fenómeno</w:t>
            </w:r>
          </w:p>
        </w:tc>
        <w:tc>
          <w:tcPr>
            <w:tcW w:w="1695" w:type="dxa"/>
            <w:tcBorders>
              <w:left w:val="nil"/>
              <w:right w:val="nil"/>
            </w:tcBorders>
            <w:shd w:val="clear" w:color="auto" w:fill="D9D9D9"/>
          </w:tcPr>
          <w:p w:rsidR="007C2439" w:rsidRPr="00524AE2" w:rsidRDefault="007C2439" w:rsidP="001503CF">
            <w:pPr>
              <w:rPr>
                <w:sz w:val="22"/>
                <w:szCs w:val="22"/>
              </w:rPr>
            </w:pPr>
          </w:p>
        </w:tc>
      </w:tr>
      <w:tr w:rsidR="007C2439" w:rsidRPr="00524AE2" w:rsidTr="006B0969">
        <w:trPr>
          <w:jc w:val="center"/>
        </w:trPr>
        <w:tc>
          <w:tcPr>
            <w:tcW w:w="1646" w:type="dxa"/>
            <w:tcBorders>
              <w:left w:val="nil"/>
              <w:right w:val="nil"/>
            </w:tcBorders>
          </w:tcPr>
          <w:p w:rsidR="007C2439" w:rsidRPr="00524AE2" w:rsidRDefault="007C2439" w:rsidP="001503CF">
            <w:pPr>
              <w:rPr>
                <w:b/>
                <w:sz w:val="22"/>
                <w:szCs w:val="22"/>
              </w:rPr>
            </w:pPr>
            <w:r w:rsidRPr="00524AE2">
              <w:rPr>
                <w:b/>
                <w:sz w:val="22"/>
                <w:szCs w:val="22"/>
              </w:rPr>
              <w:t>Evaluar y diseñar la investigación científica</w:t>
            </w:r>
          </w:p>
          <w:p w:rsidR="007C2439" w:rsidRPr="00524AE2" w:rsidRDefault="007C2439" w:rsidP="001503CF">
            <w:pPr>
              <w:rPr>
                <w:sz w:val="22"/>
                <w:szCs w:val="22"/>
              </w:rPr>
            </w:pPr>
            <w:r w:rsidRPr="00524AE2">
              <w:rPr>
                <w:sz w:val="22"/>
                <w:szCs w:val="22"/>
              </w:rPr>
              <w:t>(6 ítems)</w:t>
            </w:r>
          </w:p>
        </w:tc>
        <w:tc>
          <w:tcPr>
            <w:tcW w:w="3032" w:type="dxa"/>
            <w:tcBorders>
              <w:left w:val="nil"/>
              <w:right w:val="nil"/>
            </w:tcBorders>
          </w:tcPr>
          <w:p w:rsidR="007C2439" w:rsidRPr="00524AE2" w:rsidRDefault="007C2439" w:rsidP="001503CF">
            <w:pPr>
              <w:pStyle w:val="Textbody"/>
              <w:spacing w:after="113"/>
              <w:rPr>
                <w:sz w:val="22"/>
                <w:szCs w:val="22"/>
              </w:rPr>
            </w:pPr>
            <w:r w:rsidRPr="00524AE2">
              <w:rPr>
                <w:sz w:val="22"/>
                <w:szCs w:val="22"/>
              </w:rPr>
              <w:t>Ítem 1: reconocer la cuestión que puede investigarse</w:t>
            </w:r>
          </w:p>
          <w:p w:rsidR="007C2439" w:rsidRPr="00524AE2" w:rsidRDefault="007C2439" w:rsidP="001503CF">
            <w:pPr>
              <w:rPr>
                <w:sz w:val="22"/>
                <w:szCs w:val="22"/>
              </w:rPr>
            </w:pPr>
          </w:p>
        </w:tc>
        <w:tc>
          <w:tcPr>
            <w:tcW w:w="2317" w:type="dxa"/>
            <w:tcBorders>
              <w:left w:val="nil"/>
              <w:right w:val="nil"/>
            </w:tcBorders>
          </w:tcPr>
          <w:p w:rsidR="007C2439" w:rsidRPr="00524AE2" w:rsidRDefault="007C2439" w:rsidP="001503CF">
            <w:pPr>
              <w:rPr>
                <w:sz w:val="22"/>
                <w:szCs w:val="22"/>
              </w:rPr>
            </w:pPr>
            <w:r w:rsidRPr="00524AE2">
              <w:rPr>
                <w:sz w:val="22"/>
                <w:szCs w:val="22"/>
              </w:rPr>
              <w:t>Ítem 16: identificar la cuestión estudiada en un estudio</w:t>
            </w:r>
          </w:p>
        </w:tc>
        <w:tc>
          <w:tcPr>
            <w:tcW w:w="1695" w:type="dxa"/>
            <w:tcBorders>
              <w:left w:val="nil"/>
              <w:right w:val="nil"/>
            </w:tcBorders>
          </w:tcPr>
          <w:p w:rsidR="007C2439" w:rsidRPr="00524AE2" w:rsidRDefault="007C2439" w:rsidP="001503CF">
            <w:pPr>
              <w:pStyle w:val="Textbody"/>
              <w:spacing w:after="113"/>
              <w:rPr>
                <w:sz w:val="22"/>
                <w:szCs w:val="22"/>
              </w:rPr>
            </w:pPr>
            <w:r w:rsidRPr="00524AE2">
              <w:rPr>
                <w:sz w:val="22"/>
                <w:szCs w:val="22"/>
              </w:rPr>
              <w:t>Ítem 5: distinguir una cuestión científica de otras formas de investigación (Epistémico)</w:t>
            </w:r>
          </w:p>
          <w:p w:rsidR="007C2439" w:rsidRPr="00524AE2" w:rsidRDefault="007C2439" w:rsidP="001503CF">
            <w:pPr>
              <w:pStyle w:val="Textbody"/>
              <w:spacing w:after="113"/>
              <w:rPr>
                <w:sz w:val="22"/>
                <w:szCs w:val="22"/>
              </w:rPr>
            </w:pPr>
            <w:r w:rsidRPr="00524AE2">
              <w:rPr>
                <w:sz w:val="22"/>
                <w:szCs w:val="22"/>
              </w:rPr>
              <w:t>Ítems 17, 18 y 23: conocer las características clave de la investigación científica</w:t>
            </w:r>
          </w:p>
        </w:tc>
      </w:tr>
      <w:tr w:rsidR="007C2439" w:rsidRPr="00524AE2" w:rsidTr="006B0969">
        <w:trPr>
          <w:jc w:val="center"/>
        </w:trPr>
        <w:tc>
          <w:tcPr>
            <w:tcW w:w="1646" w:type="dxa"/>
            <w:tcBorders>
              <w:left w:val="nil"/>
              <w:right w:val="nil"/>
            </w:tcBorders>
          </w:tcPr>
          <w:p w:rsidR="007C2439" w:rsidRPr="00524AE2" w:rsidRDefault="007C2439" w:rsidP="001503CF">
            <w:pPr>
              <w:rPr>
                <w:b/>
                <w:sz w:val="22"/>
                <w:szCs w:val="22"/>
              </w:rPr>
            </w:pPr>
            <w:r w:rsidRPr="00524AE2">
              <w:rPr>
                <w:b/>
                <w:sz w:val="22"/>
                <w:szCs w:val="22"/>
              </w:rPr>
              <w:t>Interpretar datos y pruebas científicamente</w:t>
            </w:r>
          </w:p>
          <w:p w:rsidR="007C2439" w:rsidRPr="00524AE2" w:rsidRDefault="007C2439" w:rsidP="001503CF">
            <w:pPr>
              <w:rPr>
                <w:sz w:val="22"/>
                <w:szCs w:val="22"/>
              </w:rPr>
            </w:pPr>
            <w:r w:rsidRPr="00524AE2">
              <w:rPr>
                <w:sz w:val="22"/>
                <w:szCs w:val="22"/>
              </w:rPr>
              <w:t>(6 ítems)</w:t>
            </w:r>
          </w:p>
        </w:tc>
        <w:tc>
          <w:tcPr>
            <w:tcW w:w="3032" w:type="dxa"/>
            <w:tcBorders>
              <w:left w:val="nil"/>
              <w:right w:val="nil"/>
            </w:tcBorders>
          </w:tcPr>
          <w:p w:rsidR="007C2439" w:rsidRPr="00524AE2" w:rsidRDefault="007C2439" w:rsidP="001503CF">
            <w:pPr>
              <w:rPr>
                <w:sz w:val="22"/>
                <w:szCs w:val="22"/>
              </w:rPr>
            </w:pPr>
            <w:r w:rsidRPr="00524AE2">
              <w:rPr>
                <w:sz w:val="22"/>
                <w:szCs w:val="22"/>
              </w:rPr>
              <w:t>Ítems 3 y 4: analizar e interpretar datos y sacar conclusiones pertinentes</w:t>
            </w:r>
          </w:p>
          <w:p w:rsidR="007C2439" w:rsidRPr="00524AE2" w:rsidRDefault="007C2439" w:rsidP="001503CF">
            <w:pPr>
              <w:rPr>
                <w:sz w:val="22"/>
                <w:szCs w:val="22"/>
              </w:rPr>
            </w:pPr>
            <w:r w:rsidRPr="00524AE2">
              <w:rPr>
                <w:sz w:val="22"/>
                <w:szCs w:val="22"/>
              </w:rPr>
              <w:t>Ítem 11: interpretar datos en forma de gráfica</w:t>
            </w:r>
          </w:p>
          <w:p w:rsidR="007C2439" w:rsidRPr="00524AE2" w:rsidRDefault="007C2439" w:rsidP="001503CF">
            <w:pPr>
              <w:rPr>
                <w:sz w:val="22"/>
                <w:szCs w:val="22"/>
              </w:rPr>
            </w:pPr>
            <w:r w:rsidRPr="00524AE2">
              <w:rPr>
                <w:sz w:val="22"/>
                <w:szCs w:val="22"/>
              </w:rPr>
              <w:t>Ítem 12: interpretar el significado de las pruebas</w:t>
            </w:r>
          </w:p>
          <w:p w:rsidR="007C2439" w:rsidRPr="00524AE2" w:rsidRDefault="007C2439" w:rsidP="001503CF">
            <w:pPr>
              <w:rPr>
                <w:sz w:val="22"/>
                <w:szCs w:val="22"/>
              </w:rPr>
            </w:pPr>
          </w:p>
        </w:tc>
        <w:tc>
          <w:tcPr>
            <w:tcW w:w="2317" w:type="dxa"/>
            <w:tcBorders>
              <w:left w:val="nil"/>
              <w:right w:val="nil"/>
            </w:tcBorders>
          </w:tcPr>
          <w:p w:rsidR="007C2439" w:rsidRPr="00524AE2" w:rsidRDefault="007C2439" w:rsidP="001503CF">
            <w:pPr>
              <w:rPr>
                <w:sz w:val="22"/>
                <w:szCs w:val="22"/>
              </w:rPr>
            </w:pPr>
            <w:r w:rsidRPr="00524AE2">
              <w:rPr>
                <w:sz w:val="22"/>
                <w:szCs w:val="22"/>
              </w:rPr>
              <w:t>Ítem 6: evaluar argumentos</w:t>
            </w:r>
          </w:p>
        </w:tc>
        <w:tc>
          <w:tcPr>
            <w:tcW w:w="1695" w:type="dxa"/>
            <w:tcBorders>
              <w:left w:val="nil"/>
              <w:right w:val="nil"/>
            </w:tcBorders>
          </w:tcPr>
          <w:p w:rsidR="007C2439" w:rsidRPr="00524AE2" w:rsidRDefault="007C2439" w:rsidP="001503CF">
            <w:pPr>
              <w:rPr>
                <w:sz w:val="22"/>
                <w:szCs w:val="22"/>
              </w:rPr>
            </w:pPr>
            <w:r w:rsidRPr="00524AE2">
              <w:rPr>
                <w:sz w:val="22"/>
                <w:szCs w:val="22"/>
              </w:rPr>
              <w:t>Ítem 22: evaluar conclusiones</w:t>
            </w:r>
          </w:p>
        </w:tc>
      </w:tr>
    </w:tbl>
    <w:p w:rsidR="00BB2761" w:rsidRPr="007C2439" w:rsidRDefault="007C2439" w:rsidP="007C2439">
      <w:pPr>
        <w:pStyle w:val="TextoNormal"/>
        <w:ind w:firstLine="0"/>
        <w:jc w:val="center"/>
        <w:rPr>
          <w:sz w:val="20"/>
          <w:szCs w:val="20"/>
        </w:rPr>
      </w:pPr>
      <w:r>
        <w:rPr>
          <w:sz w:val="20"/>
          <w:szCs w:val="20"/>
        </w:rPr>
        <w:t>Fuente: Elaboración propia</w:t>
      </w:r>
    </w:p>
    <w:p w:rsidR="00BB2761" w:rsidRDefault="00BB2761" w:rsidP="005A231F">
      <w:pPr>
        <w:pStyle w:val="TextoNormal"/>
        <w:ind w:firstLine="0"/>
        <w:rPr>
          <w:b/>
        </w:rPr>
      </w:pPr>
    </w:p>
    <w:p w:rsidR="00CB4098" w:rsidRDefault="007C2439" w:rsidP="00CB4098">
      <w:pPr>
        <w:ind w:firstLine="567"/>
        <w:rPr>
          <w:sz w:val="24"/>
        </w:rPr>
      </w:pPr>
      <w:r>
        <w:rPr>
          <w:sz w:val="24"/>
        </w:rPr>
        <w:t>En el siguiente enlace se puede obtener la prueba completa:</w:t>
      </w:r>
    </w:p>
    <w:p w:rsidR="007C2439" w:rsidRPr="005C724F" w:rsidRDefault="00015CD0" w:rsidP="008C5231">
      <w:pPr>
        <w:rPr>
          <w:color w:val="FF0000"/>
          <w:sz w:val="24"/>
        </w:rPr>
      </w:pPr>
      <w:hyperlink r:id="rId13" w:history="1">
        <w:r w:rsidR="007C2439" w:rsidRPr="000064BA">
          <w:rPr>
            <w:rStyle w:val="Hipervnculo"/>
            <w:sz w:val="24"/>
          </w:rPr>
          <w:t>https://guiadepensamientocritico.files.wordpress.com/2021/09/prueba-competencia-cientifica-1eso.pdf</w:t>
        </w:r>
      </w:hyperlink>
      <w:r w:rsidR="007C2439">
        <w:rPr>
          <w:color w:val="FF0000"/>
          <w:sz w:val="24"/>
        </w:rPr>
        <w:t xml:space="preserve"> </w:t>
      </w:r>
    </w:p>
    <w:p w:rsidR="007C2439" w:rsidRPr="007C2439" w:rsidRDefault="007C2439" w:rsidP="005A231F">
      <w:pPr>
        <w:pStyle w:val="TextoNormal"/>
        <w:ind w:firstLine="0"/>
      </w:pPr>
    </w:p>
    <w:p w:rsidR="007C2439" w:rsidRPr="007C2439" w:rsidRDefault="007C2439" w:rsidP="005A231F">
      <w:pPr>
        <w:pStyle w:val="TextoNormal"/>
        <w:ind w:firstLine="0"/>
        <w:rPr>
          <w:b/>
        </w:rPr>
      </w:pPr>
      <w:r w:rsidRPr="007C2439">
        <w:rPr>
          <w:b/>
        </w:rPr>
        <w:t>4.2 Tratamientos</w:t>
      </w:r>
    </w:p>
    <w:p w:rsidR="007C2439" w:rsidRDefault="007C2439" w:rsidP="005A231F">
      <w:pPr>
        <w:pStyle w:val="TextoNormal"/>
        <w:ind w:firstLine="0"/>
      </w:pPr>
    </w:p>
    <w:p w:rsidR="007C2439" w:rsidRDefault="007C2439" w:rsidP="007C2439">
      <w:pPr>
        <w:ind w:firstLine="567"/>
        <w:rPr>
          <w:sz w:val="24"/>
        </w:rPr>
      </w:pPr>
      <w:r>
        <w:rPr>
          <w:sz w:val="24"/>
        </w:rPr>
        <w:t xml:space="preserve">El tratamiento de los grupos que actuaron </w:t>
      </w:r>
      <w:proofErr w:type="gramStart"/>
      <w:r>
        <w:rPr>
          <w:sz w:val="24"/>
        </w:rPr>
        <w:t>como</w:t>
      </w:r>
      <w:proofErr w:type="gramEnd"/>
      <w:r>
        <w:rPr>
          <w:sz w:val="24"/>
        </w:rPr>
        <w:t xml:space="preserve"> control consistió en una instrucción tradicional, con un enfoque basado en los contenidos y con el libro de texto como guía fundamental.  El tratamiento </w:t>
      </w:r>
      <w:proofErr w:type="gramStart"/>
      <w:r>
        <w:rPr>
          <w:sz w:val="24"/>
        </w:rPr>
        <w:t>del</w:t>
      </w:r>
      <w:proofErr w:type="gramEnd"/>
      <w:r>
        <w:rPr>
          <w:sz w:val="24"/>
        </w:rPr>
        <w:t xml:space="preserve"> grupo experimental, por su parte, se implementó bajo una metodología de indagación guiada, con un enfoque competencial y con materiales específicos coherentes con dicha metodología. Los dos tratamientos fueron realizados por profesores diferentes, ambos con experiencia en las metodologías respectivas, a lo largo </w:t>
      </w:r>
      <w:proofErr w:type="gramStart"/>
      <w:r>
        <w:rPr>
          <w:sz w:val="24"/>
        </w:rPr>
        <w:t>del</w:t>
      </w:r>
      <w:proofErr w:type="gramEnd"/>
      <w:r>
        <w:rPr>
          <w:sz w:val="24"/>
        </w:rPr>
        <w:t xml:space="preserve"> curso 2018-19.</w:t>
      </w:r>
    </w:p>
    <w:p w:rsidR="007C2439" w:rsidRDefault="007C2439" w:rsidP="007C2439">
      <w:pPr>
        <w:ind w:firstLine="567"/>
        <w:rPr>
          <w:sz w:val="24"/>
        </w:rPr>
      </w:pPr>
      <w:r>
        <w:rPr>
          <w:sz w:val="24"/>
        </w:rPr>
        <w:t>El tratamiento por indagación realizado en el grupo experimental constituyó una combinación de enseñanza guiada y estructurada</w:t>
      </w:r>
      <w:r w:rsidR="00ED6D01">
        <w:rPr>
          <w:sz w:val="24"/>
        </w:rPr>
        <w:t xml:space="preserve">, </w:t>
      </w:r>
      <w:proofErr w:type="gramStart"/>
      <w:r w:rsidR="00ED6D01">
        <w:rPr>
          <w:sz w:val="24"/>
        </w:rPr>
        <w:t>tal</w:t>
      </w:r>
      <w:proofErr w:type="gramEnd"/>
      <w:r w:rsidR="00ED6D01">
        <w:rPr>
          <w:sz w:val="24"/>
        </w:rPr>
        <w:t xml:space="preserve"> y como proponen</w:t>
      </w:r>
      <w:r>
        <w:rPr>
          <w:sz w:val="24"/>
        </w:rPr>
        <w:t xml:space="preserve"> Bevins y Price </w:t>
      </w:r>
      <w:r w:rsidR="00ED6D01">
        <w:rPr>
          <w:sz w:val="24"/>
        </w:rPr>
        <w:t>(</w:t>
      </w:r>
      <w:r>
        <w:rPr>
          <w:sz w:val="24"/>
        </w:rPr>
        <w:t xml:space="preserve">2016). En el lado estructurado, los estudiantes pudieron concretar las preguntas que se les propusieron, recibieron datos para su análisis, se les facilitó ejemplos de cómo se usan las pruebas para realizar explicaciones, se </w:t>
      </w:r>
      <w:r>
        <w:rPr>
          <w:sz w:val="24"/>
        </w:rPr>
        <w:lastRenderedPageBreak/>
        <w:t xml:space="preserve">proporcionaron posibles conexiones con el conocimiento científico, y se les dio directrices para enfocar correctamente la comunicación. En el lado guiado, los estudiantes seleccionaron preguntas y plantearon otras nuevas, se les orientó para la búsqueda de datos, se les guió en el proceso de realizar explicaciones a partir de pruebas, se les dirigió hacia áreas de conocimiento científico, y se les orientó en las estrategias de comunicación adecuadas. Al principio de la intervención, en los primeros meses, se siguió una enseñanza más estructurada, pasando, gradualmente, a la versión guiada. </w:t>
      </w:r>
    </w:p>
    <w:p w:rsidR="007C2439" w:rsidRDefault="007C2439" w:rsidP="007C2439">
      <w:pPr>
        <w:ind w:firstLine="567"/>
        <w:rPr>
          <w:sz w:val="24"/>
        </w:rPr>
      </w:pPr>
      <w:r>
        <w:rPr>
          <w:sz w:val="24"/>
        </w:rPr>
        <w:t xml:space="preserve">La estructura </w:t>
      </w:r>
      <w:proofErr w:type="gramStart"/>
      <w:r>
        <w:rPr>
          <w:sz w:val="24"/>
        </w:rPr>
        <w:t>del</w:t>
      </w:r>
      <w:proofErr w:type="gramEnd"/>
      <w:r>
        <w:rPr>
          <w:sz w:val="24"/>
        </w:rPr>
        <w:t xml:space="preserve"> tratamiento experimental fue similar a la de la prueba, en cuanto a dimensiones de la competencia científica y tipo de conocimiento. En cada una de las siete unidades didácticas implementadas se trabajó </w:t>
      </w:r>
      <w:proofErr w:type="gramStart"/>
      <w:r>
        <w:rPr>
          <w:sz w:val="24"/>
        </w:rPr>
        <w:t>un</w:t>
      </w:r>
      <w:proofErr w:type="gramEnd"/>
      <w:r>
        <w:rPr>
          <w:sz w:val="24"/>
        </w:rPr>
        <w:t xml:space="preserve"> ciclo de indagación completo. Dichas unidades se corresponden con los siguientes temas: Universo y la Tierra; la hidrosfera y la atmósfera, la geosfera, la biosfera, la clasificación de la vida; y los ecosistemas. El resto de actividades fueron diseñadas para desarrollar específic</w:t>
      </w:r>
      <w:r w:rsidR="00200B1D">
        <w:rPr>
          <w:sz w:val="24"/>
        </w:rPr>
        <w:t xml:space="preserve">amente determinadas habilidades </w:t>
      </w:r>
      <w:r>
        <w:rPr>
          <w:sz w:val="24"/>
        </w:rPr>
        <w:t xml:space="preserve">de las propuestas por el </w:t>
      </w:r>
      <w:proofErr w:type="gramStart"/>
      <w:r>
        <w:rPr>
          <w:sz w:val="24"/>
        </w:rPr>
        <w:t>marco</w:t>
      </w:r>
      <w:proofErr w:type="gramEnd"/>
      <w:r>
        <w:rPr>
          <w:sz w:val="24"/>
        </w:rPr>
        <w:t xml:space="preserve"> teórico de la OCDE de 2015. Se prestó atención especial a la </w:t>
      </w:r>
      <w:r w:rsidRPr="00AA16B7">
        <w:rPr>
          <w:sz w:val="24"/>
        </w:rPr>
        <w:t>mod</w:t>
      </w:r>
      <w:r>
        <w:rPr>
          <w:sz w:val="24"/>
        </w:rPr>
        <w:t xml:space="preserve">elización y a la argumentación, aspectos que deben ser protagonistas en la indagación de calidad (Couso, 2014; Romero, 2017). </w:t>
      </w:r>
    </w:p>
    <w:p w:rsidR="007C2439" w:rsidRPr="00E2416C" w:rsidRDefault="007C2439" w:rsidP="007C2439">
      <w:pPr>
        <w:rPr>
          <w:sz w:val="24"/>
        </w:rPr>
      </w:pPr>
      <w:r>
        <w:rPr>
          <w:sz w:val="24"/>
        </w:rPr>
        <w:t xml:space="preserve">A continuación, se ilustra el uso de un ciclo de consulta, siguiendo el modelo de Pedaste </w:t>
      </w:r>
      <w:r w:rsidRPr="00AD273B">
        <w:rPr>
          <w:sz w:val="24"/>
        </w:rPr>
        <w:t xml:space="preserve">et al. </w:t>
      </w:r>
      <w:r>
        <w:rPr>
          <w:sz w:val="24"/>
        </w:rPr>
        <w:t>(2015), mediante un ejemplo sobre el estudio de las estaciones e</w:t>
      </w:r>
      <w:r w:rsidRPr="00E2416C">
        <w:rPr>
          <w:sz w:val="24"/>
        </w:rPr>
        <w:t>nm</w:t>
      </w:r>
      <w:r>
        <w:rPr>
          <w:sz w:val="24"/>
        </w:rPr>
        <w:t>arcado dentro de la unidad del Universo y la Tierra</w:t>
      </w:r>
      <w:r w:rsidRPr="00E2416C">
        <w:rPr>
          <w:sz w:val="24"/>
        </w:rPr>
        <w:t>:</w:t>
      </w:r>
    </w:p>
    <w:p w:rsidR="007C2439" w:rsidRPr="00E2416C" w:rsidRDefault="007C2439" w:rsidP="00A66DCF">
      <w:pPr>
        <w:pStyle w:val="Prrafodelista"/>
        <w:numPr>
          <w:ilvl w:val="0"/>
          <w:numId w:val="44"/>
        </w:numPr>
        <w:spacing w:line="240" w:lineRule="auto"/>
        <w:ind w:left="567" w:firstLine="0"/>
        <w:jc w:val="both"/>
        <w:rPr>
          <w:rFonts w:ascii="Times New Roman" w:hAnsi="Times New Roman"/>
          <w:sz w:val="24"/>
          <w:szCs w:val="24"/>
        </w:rPr>
      </w:pPr>
      <w:r w:rsidRPr="00E2416C">
        <w:rPr>
          <w:rFonts w:ascii="Times New Roman" w:hAnsi="Times New Roman"/>
          <w:sz w:val="24"/>
          <w:szCs w:val="24"/>
        </w:rPr>
        <w:t>Fase de contextualización:</w:t>
      </w:r>
    </w:p>
    <w:p w:rsidR="007C2439" w:rsidRPr="00E2416C" w:rsidRDefault="007C2439" w:rsidP="007C2439">
      <w:pPr>
        <w:pStyle w:val="Prrafodelista"/>
        <w:numPr>
          <w:ilvl w:val="0"/>
          <w:numId w:val="45"/>
        </w:numPr>
        <w:spacing w:line="240" w:lineRule="auto"/>
        <w:jc w:val="both"/>
        <w:rPr>
          <w:rFonts w:ascii="Times New Roman" w:hAnsi="Times New Roman"/>
          <w:sz w:val="24"/>
          <w:szCs w:val="24"/>
        </w:rPr>
      </w:pPr>
      <w:r w:rsidRPr="00E2416C">
        <w:rPr>
          <w:rFonts w:ascii="Times New Roman" w:hAnsi="Times New Roman"/>
          <w:sz w:val="24"/>
          <w:szCs w:val="24"/>
        </w:rPr>
        <w:t>Actividad de iniciación: solemos asociar la Navidad con el invierno, el frío y el abrigo. El Sol hace un recorrido muy corto por el cielo y hay pocas horas de luz. Pero no en todos los lugares de nuestro planeta sucede así. En Australia, por ejemplo, celebran las fiestas navideñas en bañador, puesto que el Sol sube muy arriba</w:t>
      </w:r>
      <w:r>
        <w:rPr>
          <w:rFonts w:ascii="Times New Roman" w:hAnsi="Times New Roman"/>
          <w:sz w:val="24"/>
          <w:szCs w:val="24"/>
        </w:rPr>
        <w:t xml:space="preserve">, </w:t>
      </w:r>
      <w:r w:rsidRPr="00E2416C">
        <w:rPr>
          <w:rFonts w:ascii="Times New Roman" w:hAnsi="Times New Roman"/>
          <w:sz w:val="24"/>
          <w:szCs w:val="24"/>
        </w:rPr>
        <w:t>su recorrido es más largo</w:t>
      </w:r>
      <w:r>
        <w:rPr>
          <w:rFonts w:ascii="Times New Roman" w:hAnsi="Times New Roman"/>
          <w:sz w:val="24"/>
          <w:szCs w:val="24"/>
        </w:rPr>
        <w:t xml:space="preserve"> y da más calor</w:t>
      </w:r>
      <w:r w:rsidRPr="00E2416C">
        <w:rPr>
          <w:rFonts w:ascii="Times New Roman" w:hAnsi="Times New Roman"/>
          <w:sz w:val="24"/>
          <w:szCs w:val="24"/>
        </w:rPr>
        <w:t>. Del mismo modo, todos hemos podido comprobar las diferencias de recorrido del Sol en un mismo lugar en distintas épocas del año. En Fuenlabrada, por ejemplo, el Sol sube más alto en el cielo en verano que en invierno.</w:t>
      </w:r>
    </w:p>
    <w:p w:rsidR="007C2439" w:rsidRPr="00ED1275" w:rsidRDefault="007C2439" w:rsidP="00200B1D">
      <w:pPr>
        <w:pStyle w:val="Prrafodelista"/>
        <w:spacing w:line="240" w:lineRule="auto"/>
        <w:ind w:left="1080"/>
        <w:jc w:val="both"/>
        <w:rPr>
          <w:rFonts w:ascii="Times New Roman" w:hAnsi="Times New Roman"/>
          <w:sz w:val="24"/>
          <w:szCs w:val="24"/>
        </w:rPr>
      </w:pPr>
      <w:r w:rsidRPr="00E2416C">
        <w:rPr>
          <w:rFonts w:ascii="Times New Roman" w:hAnsi="Times New Roman"/>
          <w:sz w:val="24"/>
          <w:szCs w:val="24"/>
        </w:rPr>
        <w:t xml:space="preserve">Planteamiento didáctico: </w:t>
      </w:r>
      <w:r>
        <w:rPr>
          <w:rFonts w:ascii="Times New Roman" w:hAnsi="Times New Roman"/>
          <w:sz w:val="24"/>
          <w:szCs w:val="24"/>
        </w:rPr>
        <w:t>l</w:t>
      </w:r>
      <w:r w:rsidRPr="00E2416C">
        <w:rPr>
          <w:rFonts w:ascii="Times New Roman" w:hAnsi="Times New Roman"/>
          <w:sz w:val="24"/>
          <w:szCs w:val="24"/>
        </w:rPr>
        <w:t xml:space="preserve">a situación es conocida por los estudiantes ya que es habitual ver imágenes, en los medios de comunicación, de las celebraciones navideñas de diferentes países. Se busca que los estudiantes tengan la motivación adecuada </w:t>
      </w:r>
      <w:r>
        <w:rPr>
          <w:rFonts w:ascii="Times New Roman" w:hAnsi="Times New Roman"/>
          <w:sz w:val="24"/>
          <w:szCs w:val="24"/>
        </w:rPr>
        <w:t>para situar el problema, recorriendo el camino desde lo global hacia lo local.</w:t>
      </w:r>
      <w:r w:rsidRPr="00632486">
        <w:rPr>
          <w:rFonts w:ascii="Times New Roman" w:hAnsi="Times New Roman"/>
          <w:sz w:val="24"/>
          <w:szCs w:val="24"/>
        </w:rPr>
        <w:t xml:space="preserve"> </w:t>
      </w:r>
      <w:r>
        <w:rPr>
          <w:rFonts w:ascii="Times New Roman" w:hAnsi="Times New Roman"/>
          <w:sz w:val="24"/>
          <w:szCs w:val="24"/>
        </w:rPr>
        <w:t>Asimismo, en la discusión inicial podrán aflorar las ideas previas de los alumnos. En ese momento, el profesor guiará a los estudiantes hacia la combinación de traslación con inclinación del eje terrestre como mejor explicación a la existencia de estaciones. Es posible que algunos alumnos identifiquen sólo el movimiento de traslación como causante de las estaciones, pensando erróneamente que la distancia Tierra-Sol es la clave. En este caso, es conveniente pedir a dichos estudiantes que busquen los datos de afelio y perihelio y las épocas del año correspondientes.</w:t>
      </w:r>
    </w:p>
    <w:p w:rsidR="007C2439" w:rsidRPr="00ED1275" w:rsidRDefault="007C2439" w:rsidP="00A66DCF">
      <w:pPr>
        <w:pStyle w:val="Prrafodelista"/>
        <w:numPr>
          <w:ilvl w:val="0"/>
          <w:numId w:val="44"/>
        </w:numPr>
        <w:spacing w:line="240" w:lineRule="auto"/>
        <w:ind w:left="567" w:firstLine="0"/>
        <w:jc w:val="both"/>
        <w:rPr>
          <w:rFonts w:ascii="Times New Roman" w:hAnsi="Times New Roman"/>
          <w:sz w:val="24"/>
          <w:szCs w:val="24"/>
        </w:rPr>
      </w:pPr>
      <w:r w:rsidRPr="00ED1275">
        <w:rPr>
          <w:rFonts w:ascii="Times New Roman" w:hAnsi="Times New Roman"/>
          <w:sz w:val="24"/>
          <w:szCs w:val="24"/>
        </w:rPr>
        <w:t>Fase de conceptualización:</w:t>
      </w:r>
    </w:p>
    <w:p w:rsidR="007C2439" w:rsidRPr="004D29B7" w:rsidRDefault="007C2439" w:rsidP="007C2439">
      <w:pPr>
        <w:pStyle w:val="Sinespaciado"/>
        <w:numPr>
          <w:ilvl w:val="0"/>
          <w:numId w:val="45"/>
        </w:numPr>
        <w:rPr>
          <w:rFonts w:ascii="Times New Roman" w:hAnsi="Times New Roman"/>
          <w:sz w:val="24"/>
          <w:szCs w:val="24"/>
        </w:rPr>
      </w:pPr>
      <w:r w:rsidRPr="004D29B7">
        <w:rPr>
          <w:rFonts w:ascii="Times New Roman" w:hAnsi="Times New Roman"/>
          <w:sz w:val="24"/>
          <w:szCs w:val="24"/>
        </w:rPr>
        <w:t xml:space="preserve">Actividad 1: </w:t>
      </w:r>
      <w:r>
        <w:rPr>
          <w:rFonts w:ascii="Times New Roman" w:hAnsi="Times New Roman"/>
          <w:sz w:val="24"/>
          <w:szCs w:val="24"/>
        </w:rPr>
        <w:t>i</w:t>
      </w:r>
      <w:r w:rsidRPr="004D29B7">
        <w:rPr>
          <w:rFonts w:ascii="Times New Roman" w:hAnsi="Times New Roman"/>
          <w:sz w:val="24"/>
          <w:szCs w:val="24"/>
        </w:rPr>
        <w:t xml:space="preserve">ndica cuál de las siguientes cuestiones es la más correcta como </w:t>
      </w:r>
      <w:r>
        <w:rPr>
          <w:rFonts w:ascii="Times New Roman" w:hAnsi="Times New Roman"/>
          <w:sz w:val="24"/>
          <w:szCs w:val="24"/>
        </w:rPr>
        <w:t>p</w:t>
      </w:r>
      <w:r w:rsidRPr="004D29B7">
        <w:rPr>
          <w:rFonts w:ascii="Times New Roman" w:hAnsi="Times New Roman"/>
          <w:sz w:val="24"/>
          <w:szCs w:val="24"/>
        </w:rPr>
        <w:t>regunta de investigación:</w:t>
      </w:r>
    </w:p>
    <w:p w:rsidR="007C2439" w:rsidRPr="004D29B7" w:rsidRDefault="007C2439" w:rsidP="007C2439">
      <w:pPr>
        <w:pStyle w:val="Prrafodelista"/>
        <w:numPr>
          <w:ilvl w:val="0"/>
          <w:numId w:val="46"/>
        </w:numPr>
        <w:spacing w:line="240" w:lineRule="auto"/>
        <w:jc w:val="both"/>
        <w:rPr>
          <w:rFonts w:ascii="Times New Roman" w:hAnsi="Times New Roman"/>
          <w:sz w:val="24"/>
          <w:szCs w:val="24"/>
        </w:rPr>
      </w:pPr>
      <w:r w:rsidRPr="004D29B7">
        <w:rPr>
          <w:rFonts w:ascii="Times New Roman" w:hAnsi="Times New Roman"/>
          <w:sz w:val="24"/>
          <w:szCs w:val="24"/>
        </w:rPr>
        <w:t>¿Por qué el Sol está más arriba en verano que en invierno?</w:t>
      </w:r>
    </w:p>
    <w:p w:rsidR="007C2439" w:rsidRPr="004D29B7" w:rsidRDefault="007C2439" w:rsidP="007C2439">
      <w:pPr>
        <w:pStyle w:val="Prrafodelista"/>
        <w:numPr>
          <w:ilvl w:val="0"/>
          <w:numId w:val="46"/>
        </w:numPr>
        <w:spacing w:line="240" w:lineRule="auto"/>
        <w:jc w:val="both"/>
        <w:rPr>
          <w:rFonts w:ascii="Times New Roman" w:hAnsi="Times New Roman"/>
          <w:sz w:val="24"/>
          <w:szCs w:val="24"/>
        </w:rPr>
      </w:pPr>
      <w:r w:rsidRPr="004D29B7">
        <w:rPr>
          <w:rFonts w:ascii="Times New Roman" w:hAnsi="Times New Roman"/>
          <w:sz w:val="24"/>
          <w:szCs w:val="24"/>
          <w:lang w:val="es-ES_tradnl"/>
        </w:rPr>
        <w:t>¿Qué provoca la existencia de difere</w:t>
      </w:r>
      <w:r>
        <w:rPr>
          <w:rFonts w:ascii="Times New Roman" w:hAnsi="Times New Roman"/>
          <w:sz w:val="24"/>
          <w:szCs w:val="24"/>
          <w:lang w:val="es-ES_tradnl"/>
        </w:rPr>
        <w:t xml:space="preserve">ntes estaciones a lo largo del </w:t>
      </w:r>
      <w:r w:rsidRPr="004D29B7">
        <w:rPr>
          <w:rFonts w:ascii="Times New Roman" w:hAnsi="Times New Roman"/>
          <w:sz w:val="24"/>
          <w:szCs w:val="24"/>
          <w:lang w:val="es-ES_tradnl"/>
        </w:rPr>
        <w:t>año?</w:t>
      </w:r>
    </w:p>
    <w:p w:rsidR="007C2439" w:rsidRPr="004D29B7" w:rsidRDefault="007C2439" w:rsidP="007C2439">
      <w:pPr>
        <w:pStyle w:val="Prrafodelista"/>
        <w:numPr>
          <w:ilvl w:val="0"/>
          <w:numId w:val="46"/>
        </w:numPr>
        <w:spacing w:line="240" w:lineRule="auto"/>
        <w:jc w:val="both"/>
        <w:rPr>
          <w:rFonts w:ascii="Times New Roman" w:hAnsi="Times New Roman"/>
          <w:sz w:val="24"/>
          <w:szCs w:val="24"/>
        </w:rPr>
      </w:pPr>
      <w:r w:rsidRPr="004D29B7">
        <w:rPr>
          <w:rFonts w:ascii="Times New Roman" w:hAnsi="Times New Roman"/>
          <w:sz w:val="24"/>
          <w:szCs w:val="24"/>
          <w:lang w:val="es-ES_tradnl"/>
        </w:rPr>
        <w:t>¿Hay alguna diferencia en</w:t>
      </w:r>
      <w:r>
        <w:rPr>
          <w:rFonts w:ascii="Times New Roman" w:hAnsi="Times New Roman"/>
          <w:sz w:val="24"/>
          <w:szCs w:val="24"/>
          <w:lang w:val="es-ES_tradnl"/>
        </w:rPr>
        <w:t xml:space="preserve"> la posición del Sol en </w:t>
      </w:r>
      <w:r w:rsidRPr="004D29B7">
        <w:rPr>
          <w:rFonts w:ascii="Times New Roman" w:hAnsi="Times New Roman"/>
          <w:sz w:val="24"/>
          <w:szCs w:val="24"/>
          <w:lang w:val="es-ES_tradnl"/>
        </w:rPr>
        <w:t>las diferentes estaciones?</w:t>
      </w:r>
    </w:p>
    <w:p w:rsidR="007C2439" w:rsidRPr="004D29B7" w:rsidRDefault="007C2439" w:rsidP="007C2439">
      <w:pPr>
        <w:pStyle w:val="Prrafodelista"/>
        <w:numPr>
          <w:ilvl w:val="0"/>
          <w:numId w:val="46"/>
        </w:numPr>
        <w:spacing w:line="240" w:lineRule="auto"/>
        <w:jc w:val="both"/>
        <w:rPr>
          <w:rFonts w:ascii="Times New Roman" w:hAnsi="Times New Roman"/>
          <w:sz w:val="24"/>
          <w:szCs w:val="24"/>
        </w:rPr>
      </w:pPr>
      <w:r w:rsidRPr="004D29B7">
        <w:rPr>
          <w:rFonts w:ascii="Times New Roman" w:hAnsi="Times New Roman"/>
          <w:sz w:val="24"/>
          <w:szCs w:val="24"/>
          <w:lang w:val="es-ES_tradnl"/>
        </w:rPr>
        <w:t>¿Qué diferencias de inclinación de los rayos solares se observan en diferentes estaciones?</w:t>
      </w:r>
    </w:p>
    <w:p w:rsidR="007C2439" w:rsidRPr="00B5507D" w:rsidRDefault="007C2439" w:rsidP="00200B1D">
      <w:pPr>
        <w:pStyle w:val="Prrafodelista"/>
        <w:spacing w:line="240" w:lineRule="auto"/>
        <w:ind w:left="1080"/>
        <w:jc w:val="both"/>
        <w:rPr>
          <w:rFonts w:ascii="Times New Roman" w:hAnsi="Times New Roman"/>
          <w:sz w:val="24"/>
          <w:szCs w:val="24"/>
        </w:rPr>
      </w:pPr>
      <w:r w:rsidRPr="00B5507D">
        <w:rPr>
          <w:rFonts w:ascii="Times New Roman" w:hAnsi="Times New Roman"/>
          <w:sz w:val="24"/>
          <w:szCs w:val="24"/>
          <w:lang w:val="es-ES_tradnl"/>
        </w:rPr>
        <w:t>Planteamiento didáctico: la pregunta debe cumplir dos características</w:t>
      </w:r>
      <w:r>
        <w:rPr>
          <w:rFonts w:ascii="Times New Roman" w:hAnsi="Times New Roman"/>
          <w:sz w:val="24"/>
          <w:szCs w:val="24"/>
          <w:lang w:val="es-ES_tradnl"/>
        </w:rPr>
        <w:t xml:space="preserve"> para que sea investigable</w:t>
      </w:r>
      <w:r w:rsidRPr="00B5507D">
        <w:rPr>
          <w:rFonts w:ascii="Times New Roman" w:hAnsi="Times New Roman"/>
          <w:sz w:val="24"/>
          <w:szCs w:val="24"/>
          <w:lang w:val="es-ES_tradnl"/>
        </w:rPr>
        <w:t xml:space="preserve">. Por </w:t>
      </w:r>
      <w:r>
        <w:rPr>
          <w:rFonts w:ascii="Times New Roman" w:hAnsi="Times New Roman"/>
          <w:sz w:val="24"/>
          <w:szCs w:val="24"/>
          <w:lang w:val="es-ES_tradnl"/>
        </w:rPr>
        <w:t>un lado,</w:t>
      </w:r>
      <w:r w:rsidRPr="00B5507D">
        <w:rPr>
          <w:rFonts w:ascii="Times New Roman" w:hAnsi="Times New Roman"/>
          <w:sz w:val="24"/>
          <w:szCs w:val="24"/>
        </w:rPr>
        <w:t xml:space="preserve"> debe sugerir la relación causal entre las variables y, </w:t>
      </w:r>
      <w:r>
        <w:rPr>
          <w:rFonts w:ascii="Times New Roman" w:hAnsi="Times New Roman"/>
          <w:sz w:val="24"/>
          <w:szCs w:val="24"/>
        </w:rPr>
        <w:t xml:space="preserve">por otro, debe poder ser respondida mediante análisis de </w:t>
      </w:r>
      <w:r w:rsidRPr="00B5507D">
        <w:rPr>
          <w:rFonts w:ascii="Times New Roman" w:hAnsi="Times New Roman"/>
          <w:sz w:val="24"/>
          <w:szCs w:val="24"/>
        </w:rPr>
        <w:t>datos.</w:t>
      </w:r>
      <w:r>
        <w:rPr>
          <w:rFonts w:ascii="Times New Roman" w:hAnsi="Times New Roman"/>
          <w:sz w:val="24"/>
          <w:szCs w:val="24"/>
        </w:rPr>
        <w:t xml:space="preserve"> Por ello, la cuarta opción es la más adecuada.</w:t>
      </w:r>
    </w:p>
    <w:p w:rsidR="007C2439" w:rsidRPr="00B5507D" w:rsidRDefault="007C2439" w:rsidP="007C2439">
      <w:pPr>
        <w:pStyle w:val="Prrafodelista"/>
        <w:numPr>
          <w:ilvl w:val="0"/>
          <w:numId w:val="45"/>
        </w:numPr>
        <w:spacing w:line="240" w:lineRule="auto"/>
        <w:jc w:val="both"/>
        <w:rPr>
          <w:rFonts w:ascii="Times New Roman" w:hAnsi="Times New Roman"/>
          <w:sz w:val="24"/>
          <w:szCs w:val="24"/>
        </w:rPr>
      </w:pPr>
      <w:r>
        <w:rPr>
          <w:rFonts w:ascii="Times New Roman" w:hAnsi="Times New Roman"/>
          <w:sz w:val="24"/>
          <w:szCs w:val="24"/>
        </w:rPr>
        <w:t>Actividad 2: formula</w:t>
      </w:r>
      <w:r w:rsidRPr="00B5507D">
        <w:rPr>
          <w:rFonts w:ascii="Times New Roman" w:hAnsi="Times New Roman"/>
          <w:sz w:val="24"/>
          <w:szCs w:val="24"/>
        </w:rPr>
        <w:t xml:space="preserve"> una hipótesis que conteste a la pregunta.</w:t>
      </w:r>
    </w:p>
    <w:p w:rsidR="007C2439" w:rsidRDefault="007C2439" w:rsidP="00200B1D">
      <w:pPr>
        <w:pStyle w:val="Prrafodelista"/>
        <w:spacing w:line="240" w:lineRule="auto"/>
        <w:ind w:left="1080"/>
        <w:jc w:val="both"/>
        <w:rPr>
          <w:rFonts w:ascii="Times New Roman" w:hAnsi="Times New Roman"/>
          <w:sz w:val="24"/>
          <w:szCs w:val="24"/>
        </w:rPr>
      </w:pPr>
      <w:r w:rsidRPr="00ED1275">
        <w:rPr>
          <w:rFonts w:ascii="Times New Roman" w:hAnsi="Times New Roman"/>
          <w:sz w:val="24"/>
          <w:szCs w:val="24"/>
        </w:rPr>
        <w:lastRenderedPageBreak/>
        <w:t xml:space="preserve">Planteamiento didáctico: </w:t>
      </w:r>
      <w:r>
        <w:rPr>
          <w:rFonts w:ascii="Times New Roman" w:hAnsi="Times New Roman"/>
          <w:sz w:val="24"/>
          <w:szCs w:val="24"/>
        </w:rPr>
        <w:t>la hipótesis debe ser coherente con la pregunta y reflejar la relación de causalidad entre las variables independiente y dependiente.</w:t>
      </w:r>
    </w:p>
    <w:p w:rsidR="007C2439" w:rsidRDefault="007C2439" w:rsidP="00A66DCF">
      <w:pPr>
        <w:pStyle w:val="Prrafodelista"/>
        <w:numPr>
          <w:ilvl w:val="0"/>
          <w:numId w:val="44"/>
        </w:numPr>
        <w:spacing w:line="240" w:lineRule="auto"/>
        <w:ind w:left="567" w:firstLine="0"/>
        <w:jc w:val="both"/>
        <w:rPr>
          <w:rFonts w:ascii="Times New Roman" w:hAnsi="Times New Roman"/>
          <w:sz w:val="24"/>
          <w:szCs w:val="24"/>
        </w:rPr>
      </w:pPr>
      <w:r w:rsidRPr="00ED1275">
        <w:rPr>
          <w:rFonts w:ascii="Times New Roman" w:hAnsi="Times New Roman"/>
          <w:sz w:val="24"/>
          <w:szCs w:val="24"/>
        </w:rPr>
        <w:t>Fase de investigación:</w:t>
      </w:r>
    </w:p>
    <w:p w:rsidR="007C2439" w:rsidRPr="00752451" w:rsidRDefault="007C2439" w:rsidP="007C2439">
      <w:pPr>
        <w:pStyle w:val="Prrafodelista"/>
        <w:numPr>
          <w:ilvl w:val="0"/>
          <w:numId w:val="45"/>
        </w:numPr>
        <w:spacing w:line="240" w:lineRule="auto"/>
        <w:jc w:val="both"/>
        <w:rPr>
          <w:rFonts w:ascii="Times New Roman" w:hAnsi="Times New Roman"/>
          <w:sz w:val="24"/>
          <w:szCs w:val="24"/>
        </w:rPr>
      </w:pPr>
      <w:r w:rsidRPr="00752451">
        <w:rPr>
          <w:rFonts w:ascii="Times New Roman" w:hAnsi="Times New Roman"/>
          <w:sz w:val="24"/>
          <w:szCs w:val="24"/>
        </w:rPr>
        <w:t>Actividad 3</w:t>
      </w:r>
      <w:r>
        <w:rPr>
          <w:rFonts w:ascii="Times New Roman" w:hAnsi="Times New Roman"/>
          <w:sz w:val="24"/>
          <w:szCs w:val="24"/>
        </w:rPr>
        <w:t>: mide</w:t>
      </w:r>
      <w:r w:rsidRPr="00752451">
        <w:rPr>
          <w:rFonts w:ascii="Times New Roman" w:hAnsi="Times New Roman"/>
          <w:sz w:val="24"/>
          <w:szCs w:val="24"/>
        </w:rPr>
        <w:t xml:space="preserve"> experimentalmente la inclinación de los rayos solares, según se</w:t>
      </w:r>
      <w:r>
        <w:rPr>
          <w:rFonts w:ascii="Times New Roman" w:hAnsi="Times New Roman"/>
          <w:sz w:val="24"/>
          <w:szCs w:val="24"/>
        </w:rPr>
        <w:t xml:space="preserve"> muestra en el dibujo y utiliza</w:t>
      </w:r>
      <w:r w:rsidRPr="00752451">
        <w:rPr>
          <w:rFonts w:ascii="Times New Roman" w:hAnsi="Times New Roman"/>
          <w:sz w:val="24"/>
          <w:szCs w:val="24"/>
        </w:rPr>
        <w:t xml:space="preserve"> la fórmula para calcular el grado de inc</w:t>
      </w:r>
      <w:r w:rsidR="00203688">
        <w:rPr>
          <w:rFonts w:ascii="Times New Roman" w:hAnsi="Times New Roman"/>
          <w:sz w:val="24"/>
          <w:szCs w:val="24"/>
        </w:rPr>
        <w:t>linación de los mismos (figura 3</w:t>
      </w:r>
      <w:r w:rsidRPr="00752451">
        <w:rPr>
          <w:rFonts w:ascii="Times New Roman" w:hAnsi="Times New Roman"/>
          <w:sz w:val="24"/>
          <w:szCs w:val="24"/>
        </w:rPr>
        <w:t xml:space="preserve">). Para calcular la inclinación de los rayos solares, hay que tomar dos medidas y realizar un cálculo matemático. Coge un palo recto, por ejemplo, </w:t>
      </w:r>
      <w:r>
        <w:rPr>
          <w:rFonts w:ascii="Times New Roman" w:hAnsi="Times New Roman"/>
          <w:sz w:val="24"/>
          <w:szCs w:val="24"/>
        </w:rPr>
        <w:t xml:space="preserve">el </w:t>
      </w:r>
      <w:r w:rsidRPr="00752451">
        <w:rPr>
          <w:rFonts w:ascii="Times New Roman" w:hAnsi="Times New Roman"/>
          <w:sz w:val="24"/>
          <w:szCs w:val="24"/>
        </w:rPr>
        <w:t>de una escoba, y mide su longitud en cm. Después ponla en el suelo y procura que le dé el Sol, a las 12 h del mediodía solar, que es cuando el Sol está más alto en el cielo. Mide la longitud de la sombra en cm. Lleva estos dos datos a la fórmula matemática y obtendrás los grados de inclinación.</w:t>
      </w:r>
    </w:p>
    <w:p w:rsidR="007C2439" w:rsidRDefault="00203688" w:rsidP="00A66DCF">
      <w:pPr>
        <w:pStyle w:val="TextoNormal"/>
        <w:ind w:firstLine="0"/>
        <w:jc w:val="center"/>
        <w:rPr>
          <w:sz w:val="22"/>
          <w:szCs w:val="22"/>
        </w:rPr>
      </w:pPr>
      <w:r>
        <w:rPr>
          <w:b/>
          <w:sz w:val="22"/>
          <w:szCs w:val="22"/>
        </w:rPr>
        <w:t>FIGURA 3</w:t>
      </w:r>
      <w:r w:rsidR="00A66DCF">
        <w:rPr>
          <w:sz w:val="22"/>
          <w:szCs w:val="22"/>
        </w:rPr>
        <w:t>. Cálculo experimental de la inclinación de los rayos solares</w:t>
      </w:r>
    </w:p>
    <w:p w:rsidR="00A66DCF" w:rsidRPr="000B3986" w:rsidRDefault="00A66DCF" w:rsidP="00A66DCF">
      <w:pPr>
        <w:pStyle w:val="Prrafodelista"/>
        <w:spacing w:line="360" w:lineRule="auto"/>
        <w:ind w:left="1080"/>
        <w:jc w:val="both"/>
        <w:rPr>
          <w:rFonts w:ascii="Times New Roman" w:hAnsi="Times New Roman"/>
          <w:sz w:val="24"/>
          <w:szCs w:val="24"/>
        </w:rPr>
      </w:pPr>
    </w:p>
    <w:p w:rsidR="00A66DCF" w:rsidRDefault="00A66DCF" w:rsidP="00CC5A59">
      <w:pPr>
        <w:pStyle w:val="Prrafodelista"/>
        <w:spacing w:line="360" w:lineRule="auto"/>
        <w:ind w:left="1080"/>
        <w:jc w:val="center"/>
        <w:rPr>
          <w:rFonts w:ascii="Times New Roman" w:hAnsi="Times New Roman"/>
          <w:sz w:val="24"/>
          <w:szCs w:val="24"/>
        </w:rPr>
      </w:pPr>
      <w:r>
        <w:rPr>
          <w:rFonts w:ascii="Times New Roman" w:hAnsi="Times New Roman"/>
          <w:noProof/>
          <w:sz w:val="24"/>
          <w:szCs w:val="24"/>
          <w:lang w:eastAsia="es-ES"/>
        </w:rPr>
        <w:drawing>
          <wp:inline distT="0" distB="0" distL="0" distR="0" wp14:anchorId="36E06A47" wp14:editId="5A59ED93">
            <wp:extent cx="4091940" cy="2750820"/>
            <wp:effectExtent l="0" t="0" r="0" b="0"/>
            <wp:docPr id="1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91940" cy="2750820"/>
                    </a:xfrm>
                    <a:prstGeom prst="rect">
                      <a:avLst/>
                    </a:prstGeom>
                    <a:noFill/>
                    <a:ln>
                      <a:noFill/>
                    </a:ln>
                  </pic:spPr>
                </pic:pic>
              </a:graphicData>
            </a:graphic>
          </wp:inline>
        </w:drawing>
      </w:r>
    </w:p>
    <w:p w:rsidR="00A66DCF" w:rsidRPr="00524AE2" w:rsidRDefault="00A66DCF" w:rsidP="00CC5A59">
      <w:pPr>
        <w:pStyle w:val="Prrafodelista"/>
        <w:spacing w:line="360" w:lineRule="auto"/>
        <w:ind w:left="1080"/>
        <w:jc w:val="center"/>
        <w:rPr>
          <w:rFonts w:ascii="Times New Roman" w:hAnsi="Times New Roman"/>
        </w:rPr>
      </w:pPr>
      <w:r w:rsidRPr="00524AE2">
        <w:rPr>
          <w:rFonts w:ascii="Times New Roman" w:hAnsi="Times New Roman"/>
        </w:rPr>
        <w:t xml:space="preserve">Inversa de la tangente del ángulo (grados) = </w:t>
      </w:r>
      <m:oMath>
        <m:f>
          <m:fPr>
            <m:ctrlPr>
              <w:rPr>
                <w:rFonts w:ascii="Cambria Math" w:hAnsi="Cambria Math"/>
                <w:i/>
              </w:rPr>
            </m:ctrlPr>
          </m:fPr>
          <m:num>
            <m:r>
              <w:rPr>
                <w:rFonts w:ascii="Cambria Math" w:hAnsi="Cambria Math"/>
              </w:rPr>
              <m:t>longitud del objeto (cm)</m:t>
            </m:r>
          </m:num>
          <m:den>
            <m:r>
              <w:rPr>
                <w:rFonts w:ascii="Cambria Math" w:hAnsi="Cambria Math"/>
              </w:rPr>
              <m:t>longitud de la sombra (cm)</m:t>
            </m:r>
          </m:den>
        </m:f>
      </m:oMath>
      <w:r w:rsidRPr="00524AE2">
        <w:rPr>
          <w:rFonts w:ascii="Times New Roman" w:hAnsi="Times New Roman"/>
        </w:rPr>
        <w:t xml:space="preserve">  =</w:t>
      </w:r>
    </w:p>
    <w:p w:rsidR="00A66DCF" w:rsidRPr="00A66DCF" w:rsidRDefault="00A66DCF" w:rsidP="00A66DCF">
      <w:pPr>
        <w:pStyle w:val="TextoNormal"/>
        <w:ind w:firstLine="0"/>
        <w:jc w:val="center"/>
        <w:rPr>
          <w:sz w:val="20"/>
          <w:szCs w:val="20"/>
        </w:rPr>
      </w:pPr>
      <w:r>
        <w:rPr>
          <w:sz w:val="20"/>
          <w:szCs w:val="20"/>
        </w:rPr>
        <w:t>Fuente: Elaboración propia</w:t>
      </w:r>
    </w:p>
    <w:p w:rsidR="00A66DCF" w:rsidRDefault="00A66DCF" w:rsidP="00A66DCF">
      <w:pPr>
        <w:pStyle w:val="TextoNormal"/>
        <w:ind w:firstLine="0"/>
        <w:rPr>
          <w:sz w:val="22"/>
          <w:szCs w:val="22"/>
        </w:rPr>
      </w:pPr>
    </w:p>
    <w:p w:rsidR="00A66DCF" w:rsidRDefault="00A66DCF" w:rsidP="00524AE2">
      <w:pPr>
        <w:pStyle w:val="Prrafodelista"/>
        <w:spacing w:line="240" w:lineRule="auto"/>
        <w:ind w:left="1134"/>
        <w:jc w:val="both"/>
        <w:rPr>
          <w:rFonts w:ascii="Times New Roman" w:hAnsi="Times New Roman"/>
          <w:sz w:val="24"/>
          <w:szCs w:val="24"/>
        </w:rPr>
      </w:pPr>
      <w:r>
        <w:rPr>
          <w:rFonts w:ascii="Times New Roman" w:hAnsi="Times New Roman"/>
          <w:sz w:val="24"/>
          <w:szCs w:val="24"/>
        </w:rPr>
        <w:t>Posteriormente, inserta</w:t>
      </w:r>
      <w:r w:rsidRPr="00ED1275">
        <w:rPr>
          <w:rFonts w:ascii="Times New Roman" w:hAnsi="Times New Roman"/>
          <w:sz w:val="24"/>
          <w:szCs w:val="24"/>
        </w:rPr>
        <w:t xml:space="preserve"> el dato obtenido en la tabla con los grados de inclinación en otros momentos del año</w:t>
      </w:r>
      <w:r w:rsidR="00524AE2">
        <w:rPr>
          <w:rFonts w:ascii="Times New Roman" w:hAnsi="Times New Roman"/>
          <w:sz w:val="24"/>
          <w:szCs w:val="24"/>
        </w:rPr>
        <w:t xml:space="preserve"> (tabla 3</w:t>
      </w:r>
      <w:r>
        <w:rPr>
          <w:rFonts w:ascii="Times New Roman" w:hAnsi="Times New Roman"/>
          <w:sz w:val="24"/>
          <w:szCs w:val="24"/>
        </w:rPr>
        <w:t>), y complétala con los nombres de las estaciones correspondientes.</w:t>
      </w:r>
    </w:p>
    <w:p w:rsidR="00A66DCF" w:rsidRDefault="00524AE2" w:rsidP="00A66DCF">
      <w:pPr>
        <w:pStyle w:val="TextoNormal"/>
        <w:ind w:firstLine="0"/>
        <w:jc w:val="center"/>
        <w:rPr>
          <w:sz w:val="22"/>
          <w:szCs w:val="22"/>
        </w:rPr>
      </w:pPr>
      <w:r>
        <w:rPr>
          <w:b/>
          <w:sz w:val="22"/>
          <w:szCs w:val="22"/>
        </w:rPr>
        <w:t>TABLA 3</w:t>
      </w:r>
      <w:r w:rsidR="00A66DCF">
        <w:rPr>
          <w:sz w:val="22"/>
          <w:szCs w:val="22"/>
        </w:rPr>
        <w:t>. Inclinación de los rayos solares en la localidad de Fuenlabrada</w:t>
      </w:r>
    </w:p>
    <w:tbl>
      <w:tblPr>
        <w:tblW w:w="7375" w:type="dxa"/>
        <w:jc w:val="center"/>
        <w:tblBorders>
          <w:insideH w:val="single" w:sz="4" w:space="0" w:color="auto"/>
          <w:insideV w:val="single" w:sz="4" w:space="0" w:color="auto"/>
        </w:tblBorders>
        <w:tblLook w:val="00A0" w:firstRow="1" w:lastRow="0" w:firstColumn="1" w:lastColumn="0" w:noHBand="0" w:noVBand="0"/>
      </w:tblPr>
      <w:tblGrid>
        <w:gridCol w:w="2547"/>
        <w:gridCol w:w="2410"/>
        <w:gridCol w:w="2418"/>
      </w:tblGrid>
      <w:tr w:rsidR="00A66DCF" w:rsidRPr="00284C62" w:rsidTr="00524AE2">
        <w:trPr>
          <w:jc w:val="center"/>
        </w:trPr>
        <w:tc>
          <w:tcPr>
            <w:tcW w:w="2547" w:type="dxa"/>
            <w:tcBorders>
              <w:top w:val="single" w:sz="4" w:space="0" w:color="auto"/>
              <w:bottom w:val="single" w:sz="4" w:space="0" w:color="auto"/>
            </w:tcBorders>
          </w:tcPr>
          <w:p w:rsidR="00A66DCF" w:rsidRPr="00284C62" w:rsidRDefault="00A66DCF" w:rsidP="001503CF">
            <w:pPr>
              <w:jc w:val="center"/>
              <w:rPr>
                <w:b/>
                <w:sz w:val="24"/>
              </w:rPr>
            </w:pPr>
            <w:r w:rsidRPr="00284C62">
              <w:rPr>
                <w:b/>
                <w:sz w:val="24"/>
              </w:rPr>
              <w:t>DÍA DEL AÑO</w:t>
            </w:r>
          </w:p>
        </w:tc>
        <w:tc>
          <w:tcPr>
            <w:tcW w:w="2410" w:type="dxa"/>
            <w:tcBorders>
              <w:top w:val="single" w:sz="4" w:space="0" w:color="auto"/>
              <w:bottom w:val="single" w:sz="4" w:space="0" w:color="auto"/>
            </w:tcBorders>
          </w:tcPr>
          <w:p w:rsidR="00A66DCF" w:rsidRPr="00284C62" w:rsidRDefault="00A66DCF" w:rsidP="001503CF">
            <w:pPr>
              <w:jc w:val="center"/>
              <w:rPr>
                <w:b/>
                <w:sz w:val="24"/>
              </w:rPr>
            </w:pPr>
            <w:r w:rsidRPr="00284C62">
              <w:rPr>
                <w:b/>
                <w:sz w:val="24"/>
              </w:rPr>
              <w:t>INCLINACIÓN RAYOS SOLARES (grados)</w:t>
            </w:r>
          </w:p>
        </w:tc>
        <w:tc>
          <w:tcPr>
            <w:tcW w:w="2418" w:type="dxa"/>
            <w:tcBorders>
              <w:top w:val="single" w:sz="4" w:space="0" w:color="auto"/>
              <w:bottom w:val="single" w:sz="4" w:space="0" w:color="auto"/>
            </w:tcBorders>
          </w:tcPr>
          <w:p w:rsidR="00A66DCF" w:rsidRPr="00284C62" w:rsidRDefault="00A66DCF" w:rsidP="001503CF">
            <w:pPr>
              <w:jc w:val="center"/>
              <w:rPr>
                <w:b/>
                <w:sz w:val="24"/>
              </w:rPr>
            </w:pPr>
            <w:r w:rsidRPr="00284C62">
              <w:rPr>
                <w:b/>
                <w:sz w:val="24"/>
              </w:rPr>
              <w:t>ESTACIÓN</w:t>
            </w:r>
          </w:p>
        </w:tc>
      </w:tr>
      <w:tr w:rsidR="00A66DCF" w:rsidRPr="00284C62" w:rsidTr="00524AE2">
        <w:trPr>
          <w:jc w:val="center"/>
        </w:trPr>
        <w:tc>
          <w:tcPr>
            <w:tcW w:w="2547" w:type="dxa"/>
            <w:tcBorders>
              <w:top w:val="single" w:sz="4" w:space="0" w:color="auto"/>
            </w:tcBorders>
          </w:tcPr>
          <w:p w:rsidR="00A66DCF" w:rsidRPr="00284C62" w:rsidRDefault="00A66DCF" w:rsidP="001503CF">
            <w:pPr>
              <w:jc w:val="center"/>
              <w:rPr>
                <w:b/>
                <w:sz w:val="24"/>
              </w:rPr>
            </w:pPr>
            <w:r w:rsidRPr="00284C62">
              <w:rPr>
                <w:b/>
                <w:sz w:val="24"/>
              </w:rPr>
              <w:t>21 Diciembre</w:t>
            </w:r>
          </w:p>
        </w:tc>
        <w:tc>
          <w:tcPr>
            <w:tcW w:w="2410" w:type="dxa"/>
            <w:tcBorders>
              <w:top w:val="single" w:sz="4" w:space="0" w:color="auto"/>
            </w:tcBorders>
          </w:tcPr>
          <w:p w:rsidR="00A66DCF" w:rsidRPr="00284C62" w:rsidRDefault="00A66DCF" w:rsidP="001503CF">
            <w:pPr>
              <w:jc w:val="center"/>
              <w:rPr>
                <w:sz w:val="24"/>
              </w:rPr>
            </w:pPr>
            <w:r w:rsidRPr="00284C62">
              <w:rPr>
                <w:sz w:val="24"/>
              </w:rPr>
              <w:t>26</w:t>
            </w:r>
          </w:p>
        </w:tc>
        <w:tc>
          <w:tcPr>
            <w:tcW w:w="2418" w:type="dxa"/>
            <w:vMerge w:val="restart"/>
            <w:tcBorders>
              <w:top w:val="single" w:sz="4" w:space="0" w:color="auto"/>
            </w:tcBorders>
          </w:tcPr>
          <w:p w:rsidR="00A66DCF" w:rsidRPr="00284C62" w:rsidRDefault="00A66DCF" w:rsidP="001503CF">
            <w:pPr>
              <w:rPr>
                <w:sz w:val="24"/>
              </w:rPr>
            </w:pPr>
          </w:p>
        </w:tc>
      </w:tr>
      <w:tr w:rsidR="00A66DCF" w:rsidRPr="00284C62" w:rsidTr="009F19F9">
        <w:trPr>
          <w:jc w:val="center"/>
        </w:trPr>
        <w:tc>
          <w:tcPr>
            <w:tcW w:w="2547" w:type="dxa"/>
          </w:tcPr>
          <w:p w:rsidR="00A66DCF" w:rsidRPr="00284C62" w:rsidRDefault="00A66DCF" w:rsidP="001503CF">
            <w:pPr>
              <w:jc w:val="center"/>
              <w:rPr>
                <w:sz w:val="24"/>
              </w:rPr>
            </w:pPr>
            <w:r w:rsidRPr="00284C62">
              <w:rPr>
                <w:sz w:val="24"/>
              </w:rPr>
              <w:t>31 Enero</w:t>
            </w:r>
          </w:p>
        </w:tc>
        <w:tc>
          <w:tcPr>
            <w:tcW w:w="2410" w:type="dxa"/>
          </w:tcPr>
          <w:p w:rsidR="00A66DCF" w:rsidRPr="00284C62" w:rsidRDefault="00A66DCF" w:rsidP="001503CF">
            <w:pPr>
              <w:jc w:val="center"/>
              <w:rPr>
                <w:sz w:val="24"/>
              </w:rPr>
            </w:pPr>
            <w:r w:rsidRPr="00284C62">
              <w:rPr>
                <w:sz w:val="24"/>
              </w:rPr>
              <w:t>32</w:t>
            </w:r>
          </w:p>
        </w:tc>
        <w:tc>
          <w:tcPr>
            <w:tcW w:w="2418" w:type="dxa"/>
            <w:vMerge/>
          </w:tcPr>
          <w:p w:rsidR="00A66DCF" w:rsidRPr="00284C62" w:rsidRDefault="00A66DCF" w:rsidP="001503CF">
            <w:pPr>
              <w:rPr>
                <w:sz w:val="24"/>
              </w:rPr>
            </w:pPr>
          </w:p>
        </w:tc>
      </w:tr>
      <w:tr w:rsidR="00A66DCF" w:rsidRPr="00284C62" w:rsidTr="009F19F9">
        <w:trPr>
          <w:jc w:val="center"/>
        </w:trPr>
        <w:tc>
          <w:tcPr>
            <w:tcW w:w="2547" w:type="dxa"/>
          </w:tcPr>
          <w:p w:rsidR="00A66DCF" w:rsidRPr="00284C62" w:rsidRDefault="00A66DCF" w:rsidP="001503CF">
            <w:pPr>
              <w:jc w:val="center"/>
              <w:rPr>
                <w:sz w:val="24"/>
              </w:rPr>
            </w:pPr>
            <w:r w:rsidRPr="00284C62">
              <w:rPr>
                <w:sz w:val="24"/>
              </w:rPr>
              <w:t>15 Febrero</w:t>
            </w:r>
          </w:p>
        </w:tc>
        <w:tc>
          <w:tcPr>
            <w:tcW w:w="2410" w:type="dxa"/>
          </w:tcPr>
          <w:p w:rsidR="00A66DCF" w:rsidRPr="00284C62" w:rsidRDefault="00A66DCF" w:rsidP="001503CF">
            <w:pPr>
              <w:jc w:val="center"/>
              <w:rPr>
                <w:sz w:val="24"/>
              </w:rPr>
            </w:pPr>
            <w:r w:rsidRPr="00284C62">
              <w:rPr>
                <w:sz w:val="24"/>
              </w:rPr>
              <w:t>37</w:t>
            </w:r>
          </w:p>
        </w:tc>
        <w:tc>
          <w:tcPr>
            <w:tcW w:w="2418" w:type="dxa"/>
            <w:vMerge/>
          </w:tcPr>
          <w:p w:rsidR="00A66DCF" w:rsidRPr="00284C62" w:rsidRDefault="00A66DCF" w:rsidP="001503CF">
            <w:pPr>
              <w:rPr>
                <w:sz w:val="24"/>
              </w:rPr>
            </w:pPr>
          </w:p>
        </w:tc>
      </w:tr>
      <w:tr w:rsidR="00A66DCF" w:rsidRPr="00284C62" w:rsidTr="009F19F9">
        <w:trPr>
          <w:jc w:val="center"/>
        </w:trPr>
        <w:tc>
          <w:tcPr>
            <w:tcW w:w="2547" w:type="dxa"/>
          </w:tcPr>
          <w:p w:rsidR="00A66DCF" w:rsidRPr="00284C62" w:rsidRDefault="00A66DCF" w:rsidP="001503CF">
            <w:pPr>
              <w:jc w:val="center"/>
              <w:rPr>
                <w:sz w:val="24"/>
              </w:rPr>
            </w:pPr>
            <w:r w:rsidRPr="00284C62">
              <w:rPr>
                <w:sz w:val="24"/>
              </w:rPr>
              <w:t>2 Marzo</w:t>
            </w:r>
          </w:p>
        </w:tc>
        <w:tc>
          <w:tcPr>
            <w:tcW w:w="2410" w:type="dxa"/>
          </w:tcPr>
          <w:p w:rsidR="00A66DCF" w:rsidRPr="00284C62" w:rsidRDefault="00A66DCF" w:rsidP="001503CF">
            <w:pPr>
              <w:jc w:val="center"/>
              <w:rPr>
                <w:sz w:val="24"/>
              </w:rPr>
            </w:pPr>
            <w:r w:rsidRPr="00284C62">
              <w:rPr>
                <w:sz w:val="24"/>
              </w:rPr>
              <w:t>42</w:t>
            </w:r>
          </w:p>
        </w:tc>
        <w:tc>
          <w:tcPr>
            <w:tcW w:w="2418" w:type="dxa"/>
            <w:vMerge/>
          </w:tcPr>
          <w:p w:rsidR="00A66DCF" w:rsidRPr="00284C62" w:rsidRDefault="00A66DCF" w:rsidP="001503CF">
            <w:pPr>
              <w:rPr>
                <w:sz w:val="24"/>
              </w:rPr>
            </w:pPr>
          </w:p>
        </w:tc>
      </w:tr>
      <w:tr w:rsidR="00A66DCF" w:rsidRPr="00284C62" w:rsidTr="009F19F9">
        <w:trPr>
          <w:jc w:val="center"/>
        </w:trPr>
        <w:tc>
          <w:tcPr>
            <w:tcW w:w="2547" w:type="dxa"/>
          </w:tcPr>
          <w:p w:rsidR="00A66DCF" w:rsidRPr="00284C62" w:rsidRDefault="00A66DCF" w:rsidP="001503CF">
            <w:pPr>
              <w:jc w:val="center"/>
              <w:rPr>
                <w:b/>
                <w:sz w:val="24"/>
              </w:rPr>
            </w:pPr>
            <w:r w:rsidRPr="00284C62">
              <w:rPr>
                <w:b/>
                <w:sz w:val="24"/>
              </w:rPr>
              <w:t>20 Marzo</w:t>
            </w:r>
          </w:p>
        </w:tc>
        <w:tc>
          <w:tcPr>
            <w:tcW w:w="2410" w:type="dxa"/>
          </w:tcPr>
          <w:p w:rsidR="00A66DCF" w:rsidRPr="00284C62" w:rsidRDefault="00A66DCF" w:rsidP="001503CF">
            <w:pPr>
              <w:jc w:val="center"/>
              <w:rPr>
                <w:sz w:val="24"/>
              </w:rPr>
            </w:pPr>
            <w:r w:rsidRPr="00284C62">
              <w:rPr>
                <w:sz w:val="24"/>
              </w:rPr>
              <w:t>49</w:t>
            </w:r>
          </w:p>
        </w:tc>
        <w:tc>
          <w:tcPr>
            <w:tcW w:w="2418" w:type="dxa"/>
            <w:vMerge w:val="restart"/>
          </w:tcPr>
          <w:p w:rsidR="00A66DCF" w:rsidRPr="00284C62" w:rsidRDefault="00A66DCF" w:rsidP="001503CF">
            <w:pPr>
              <w:rPr>
                <w:sz w:val="24"/>
              </w:rPr>
            </w:pPr>
          </w:p>
        </w:tc>
      </w:tr>
      <w:tr w:rsidR="00A66DCF" w:rsidRPr="00284C62" w:rsidTr="009F19F9">
        <w:trPr>
          <w:jc w:val="center"/>
        </w:trPr>
        <w:tc>
          <w:tcPr>
            <w:tcW w:w="2547" w:type="dxa"/>
          </w:tcPr>
          <w:p w:rsidR="00A66DCF" w:rsidRPr="00284C62" w:rsidRDefault="00A66DCF" w:rsidP="001503CF">
            <w:pPr>
              <w:jc w:val="center"/>
              <w:rPr>
                <w:sz w:val="24"/>
              </w:rPr>
            </w:pPr>
            <w:r w:rsidRPr="00284C62">
              <w:rPr>
                <w:sz w:val="24"/>
              </w:rPr>
              <w:t>16 Abril</w:t>
            </w:r>
          </w:p>
        </w:tc>
        <w:tc>
          <w:tcPr>
            <w:tcW w:w="2410" w:type="dxa"/>
          </w:tcPr>
          <w:p w:rsidR="00A66DCF" w:rsidRPr="00284C62" w:rsidRDefault="00A66DCF" w:rsidP="001503CF">
            <w:pPr>
              <w:jc w:val="center"/>
              <w:rPr>
                <w:sz w:val="24"/>
              </w:rPr>
            </w:pPr>
            <w:r w:rsidRPr="00284C62">
              <w:rPr>
                <w:sz w:val="24"/>
              </w:rPr>
              <w:t>60</w:t>
            </w:r>
          </w:p>
        </w:tc>
        <w:tc>
          <w:tcPr>
            <w:tcW w:w="2418" w:type="dxa"/>
            <w:vMerge/>
          </w:tcPr>
          <w:p w:rsidR="00A66DCF" w:rsidRPr="00284C62" w:rsidRDefault="00A66DCF" w:rsidP="001503CF">
            <w:pPr>
              <w:rPr>
                <w:sz w:val="24"/>
              </w:rPr>
            </w:pPr>
          </w:p>
        </w:tc>
      </w:tr>
      <w:tr w:rsidR="00A66DCF" w:rsidRPr="00284C62" w:rsidTr="009F19F9">
        <w:trPr>
          <w:jc w:val="center"/>
        </w:trPr>
        <w:tc>
          <w:tcPr>
            <w:tcW w:w="2547" w:type="dxa"/>
          </w:tcPr>
          <w:p w:rsidR="00A66DCF" w:rsidRPr="00284C62" w:rsidRDefault="00A66DCF" w:rsidP="001503CF">
            <w:pPr>
              <w:jc w:val="center"/>
              <w:rPr>
                <w:sz w:val="24"/>
              </w:rPr>
            </w:pPr>
            <w:r w:rsidRPr="00284C62">
              <w:rPr>
                <w:sz w:val="24"/>
              </w:rPr>
              <w:t>1 Mayo</w:t>
            </w:r>
          </w:p>
        </w:tc>
        <w:tc>
          <w:tcPr>
            <w:tcW w:w="2410" w:type="dxa"/>
          </w:tcPr>
          <w:p w:rsidR="00A66DCF" w:rsidRPr="00284C62" w:rsidRDefault="00A66DCF" w:rsidP="001503CF">
            <w:pPr>
              <w:jc w:val="center"/>
              <w:rPr>
                <w:sz w:val="24"/>
              </w:rPr>
            </w:pPr>
            <w:r w:rsidRPr="00284C62">
              <w:rPr>
                <w:sz w:val="24"/>
              </w:rPr>
              <w:t>65</w:t>
            </w:r>
          </w:p>
        </w:tc>
        <w:tc>
          <w:tcPr>
            <w:tcW w:w="2418" w:type="dxa"/>
            <w:vMerge/>
          </w:tcPr>
          <w:p w:rsidR="00A66DCF" w:rsidRPr="00284C62" w:rsidRDefault="00A66DCF" w:rsidP="001503CF">
            <w:pPr>
              <w:rPr>
                <w:sz w:val="24"/>
              </w:rPr>
            </w:pPr>
          </w:p>
        </w:tc>
      </w:tr>
      <w:tr w:rsidR="00A66DCF" w:rsidRPr="00284C62" w:rsidTr="009F19F9">
        <w:trPr>
          <w:jc w:val="center"/>
        </w:trPr>
        <w:tc>
          <w:tcPr>
            <w:tcW w:w="2547" w:type="dxa"/>
          </w:tcPr>
          <w:p w:rsidR="00A66DCF" w:rsidRPr="00284C62" w:rsidRDefault="00A66DCF" w:rsidP="001503CF">
            <w:pPr>
              <w:jc w:val="center"/>
              <w:rPr>
                <w:sz w:val="24"/>
              </w:rPr>
            </w:pPr>
            <w:r w:rsidRPr="00284C62">
              <w:rPr>
                <w:sz w:val="24"/>
              </w:rPr>
              <w:t>31 Mayo</w:t>
            </w:r>
          </w:p>
        </w:tc>
        <w:tc>
          <w:tcPr>
            <w:tcW w:w="2410" w:type="dxa"/>
          </w:tcPr>
          <w:p w:rsidR="00A66DCF" w:rsidRPr="00284C62" w:rsidRDefault="00A66DCF" w:rsidP="001503CF">
            <w:pPr>
              <w:jc w:val="center"/>
              <w:rPr>
                <w:sz w:val="24"/>
              </w:rPr>
            </w:pPr>
            <w:r w:rsidRPr="00284C62">
              <w:rPr>
                <w:sz w:val="24"/>
              </w:rPr>
              <w:t>71</w:t>
            </w:r>
          </w:p>
        </w:tc>
        <w:tc>
          <w:tcPr>
            <w:tcW w:w="2418" w:type="dxa"/>
            <w:vMerge/>
          </w:tcPr>
          <w:p w:rsidR="00A66DCF" w:rsidRPr="00284C62" w:rsidRDefault="00A66DCF" w:rsidP="001503CF">
            <w:pPr>
              <w:rPr>
                <w:sz w:val="24"/>
              </w:rPr>
            </w:pPr>
          </w:p>
        </w:tc>
      </w:tr>
      <w:tr w:rsidR="00A66DCF" w:rsidRPr="00284C62" w:rsidTr="009F19F9">
        <w:trPr>
          <w:jc w:val="center"/>
        </w:trPr>
        <w:tc>
          <w:tcPr>
            <w:tcW w:w="2547" w:type="dxa"/>
          </w:tcPr>
          <w:p w:rsidR="00A66DCF" w:rsidRPr="00284C62" w:rsidRDefault="00A66DCF" w:rsidP="001503CF">
            <w:pPr>
              <w:jc w:val="center"/>
              <w:rPr>
                <w:b/>
                <w:sz w:val="24"/>
              </w:rPr>
            </w:pPr>
            <w:r w:rsidRPr="00284C62">
              <w:rPr>
                <w:b/>
                <w:sz w:val="24"/>
              </w:rPr>
              <w:lastRenderedPageBreak/>
              <w:t>21 Junio</w:t>
            </w:r>
          </w:p>
        </w:tc>
        <w:tc>
          <w:tcPr>
            <w:tcW w:w="2410" w:type="dxa"/>
          </w:tcPr>
          <w:p w:rsidR="00A66DCF" w:rsidRPr="00284C62" w:rsidRDefault="00A66DCF" w:rsidP="001503CF">
            <w:pPr>
              <w:jc w:val="center"/>
              <w:rPr>
                <w:sz w:val="24"/>
              </w:rPr>
            </w:pPr>
            <w:r w:rsidRPr="00284C62">
              <w:rPr>
                <w:sz w:val="24"/>
              </w:rPr>
              <w:t>73</w:t>
            </w:r>
          </w:p>
        </w:tc>
        <w:tc>
          <w:tcPr>
            <w:tcW w:w="2418" w:type="dxa"/>
            <w:vMerge w:val="restart"/>
          </w:tcPr>
          <w:p w:rsidR="00A66DCF" w:rsidRPr="00284C62" w:rsidRDefault="00A66DCF" w:rsidP="001503CF">
            <w:pPr>
              <w:rPr>
                <w:sz w:val="24"/>
              </w:rPr>
            </w:pPr>
          </w:p>
        </w:tc>
      </w:tr>
      <w:tr w:rsidR="00A66DCF" w:rsidRPr="00284C62" w:rsidTr="009F19F9">
        <w:trPr>
          <w:jc w:val="center"/>
        </w:trPr>
        <w:tc>
          <w:tcPr>
            <w:tcW w:w="2547" w:type="dxa"/>
          </w:tcPr>
          <w:p w:rsidR="00A66DCF" w:rsidRPr="00284C62" w:rsidRDefault="00A66DCF" w:rsidP="001503CF">
            <w:pPr>
              <w:jc w:val="center"/>
              <w:rPr>
                <w:sz w:val="24"/>
              </w:rPr>
            </w:pPr>
            <w:r w:rsidRPr="00284C62">
              <w:rPr>
                <w:sz w:val="24"/>
              </w:rPr>
              <w:t>15 Julio</w:t>
            </w:r>
          </w:p>
        </w:tc>
        <w:tc>
          <w:tcPr>
            <w:tcW w:w="2410" w:type="dxa"/>
          </w:tcPr>
          <w:p w:rsidR="00A66DCF" w:rsidRPr="00284C62" w:rsidRDefault="00A66DCF" w:rsidP="001503CF">
            <w:pPr>
              <w:jc w:val="center"/>
              <w:rPr>
                <w:sz w:val="24"/>
              </w:rPr>
            </w:pPr>
            <w:r w:rsidRPr="00284C62">
              <w:rPr>
                <w:sz w:val="24"/>
              </w:rPr>
              <w:t>71</w:t>
            </w:r>
          </w:p>
        </w:tc>
        <w:tc>
          <w:tcPr>
            <w:tcW w:w="2418" w:type="dxa"/>
            <w:vMerge/>
          </w:tcPr>
          <w:p w:rsidR="00A66DCF" w:rsidRPr="00284C62" w:rsidRDefault="00A66DCF" w:rsidP="001503CF">
            <w:pPr>
              <w:rPr>
                <w:sz w:val="24"/>
              </w:rPr>
            </w:pPr>
          </w:p>
        </w:tc>
      </w:tr>
      <w:tr w:rsidR="00A66DCF" w:rsidRPr="00284C62" w:rsidTr="009F19F9">
        <w:trPr>
          <w:jc w:val="center"/>
        </w:trPr>
        <w:tc>
          <w:tcPr>
            <w:tcW w:w="2547" w:type="dxa"/>
          </w:tcPr>
          <w:p w:rsidR="00A66DCF" w:rsidRPr="00284C62" w:rsidRDefault="00A66DCF" w:rsidP="001503CF">
            <w:pPr>
              <w:jc w:val="center"/>
              <w:rPr>
                <w:sz w:val="24"/>
              </w:rPr>
            </w:pPr>
            <w:r w:rsidRPr="00284C62">
              <w:rPr>
                <w:sz w:val="24"/>
              </w:rPr>
              <w:t>30 Julio</w:t>
            </w:r>
          </w:p>
        </w:tc>
        <w:tc>
          <w:tcPr>
            <w:tcW w:w="2410" w:type="dxa"/>
          </w:tcPr>
          <w:p w:rsidR="00A66DCF" w:rsidRPr="00284C62" w:rsidRDefault="00A66DCF" w:rsidP="001503CF">
            <w:pPr>
              <w:jc w:val="center"/>
              <w:rPr>
                <w:sz w:val="24"/>
              </w:rPr>
            </w:pPr>
            <w:r w:rsidRPr="00284C62">
              <w:rPr>
                <w:sz w:val="24"/>
              </w:rPr>
              <w:t>68</w:t>
            </w:r>
          </w:p>
        </w:tc>
        <w:tc>
          <w:tcPr>
            <w:tcW w:w="2418" w:type="dxa"/>
            <w:vMerge/>
          </w:tcPr>
          <w:p w:rsidR="00A66DCF" w:rsidRPr="00284C62" w:rsidRDefault="00A66DCF" w:rsidP="001503CF">
            <w:pPr>
              <w:rPr>
                <w:sz w:val="24"/>
              </w:rPr>
            </w:pPr>
          </w:p>
        </w:tc>
      </w:tr>
      <w:tr w:rsidR="00A66DCF" w:rsidRPr="00284C62" w:rsidTr="00524AE2">
        <w:trPr>
          <w:jc w:val="center"/>
        </w:trPr>
        <w:tc>
          <w:tcPr>
            <w:tcW w:w="2547" w:type="dxa"/>
          </w:tcPr>
          <w:p w:rsidR="00A66DCF" w:rsidRPr="00284C62" w:rsidRDefault="00A66DCF" w:rsidP="001503CF">
            <w:pPr>
              <w:jc w:val="center"/>
              <w:rPr>
                <w:sz w:val="24"/>
              </w:rPr>
            </w:pPr>
            <w:r w:rsidRPr="00284C62">
              <w:rPr>
                <w:sz w:val="24"/>
              </w:rPr>
              <w:t>29 Agosto</w:t>
            </w:r>
          </w:p>
        </w:tc>
        <w:tc>
          <w:tcPr>
            <w:tcW w:w="2410" w:type="dxa"/>
          </w:tcPr>
          <w:p w:rsidR="00A66DCF" w:rsidRPr="00284C62" w:rsidRDefault="00A66DCF" w:rsidP="001503CF">
            <w:pPr>
              <w:jc w:val="center"/>
              <w:rPr>
                <w:sz w:val="24"/>
              </w:rPr>
            </w:pPr>
            <w:r w:rsidRPr="00284C62">
              <w:rPr>
                <w:sz w:val="24"/>
              </w:rPr>
              <w:t>59</w:t>
            </w:r>
          </w:p>
        </w:tc>
        <w:tc>
          <w:tcPr>
            <w:tcW w:w="2418" w:type="dxa"/>
            <w:vMerge/>
            <w:tcBorders>
              <w:bottom w:val="single" w:sz="4" w:space="0" w:color="auto"/>
            </w:tcBorders>
          </w:tcPr>
          <w:p w:rsidR="00A66DCF" w:rsidRPr="00284C62" w:rsidRDefault="00A66DCF" w:rsidP="001503CF">
            <w:pPr>
              <w:rPr>
                <w:sz w:val="24"/>
              </w:rPr>
            </w:pPr>
          </w:p>
        </w:tc>
      </w:tr>
      <w:tr w:rsidR="00A66DCF" w:rsidRPr="00284C62" w:rsidTr="00524AE2">
        <w:trPr>
          <w:jc w:val="center"/>
        </w:trPr>
        <w:tc>
          <w:tcPr>
            <w:tcW w:w="2547" w:type="dxa"/>
          </w:tcPr>
          <w:p w:rsidR="00A66DCF" w:rsidRPr="00284C62" w:rsidRDefault="00A66DCF" w:rsidP="001503CF">
            <w:pPr>
              <w:jc w:val="center"/>
              <w:rPr>
                <w:b/>
                <w:sz w:val="24"/>
              </w:rPr>
            </w:pPr>
            <w:r w:rsidRPr="00284C62">
              <w:rPr>
                <w:b/>
                <w:sz w:val="24"/>
              </w:rPr>
              <w:t>23 Septiembre</w:t>
            </w:r>
          </w:p>
        </w:tc>
        <w:tc>
          <w:tcPr>
            <w:tcW w:w="2410" w:type="dxa"/>
          </w:tcPr>
          <w:p w:rsidR="00A66DCF" w:rsidRPr="00284C62" w:rsidRDefault="00A66DCF" w:rsidP="001503CF">
            <w:pPr>
              <w:jc w:val="center"/>
              <w:rPr>
                <w:sz w:val="24"/>
              </w:rPr>
            </w:pPr>
            <w:r w:rsidRPr="00284C62">
              <w:rPr>
                <w:sz w:val="24"/>
              </w:rPr>
              <w:t>49</w:t>
            </w:r>
          </w:p>
        </w:tc>
        <w:tc>
          <w:tcPr>
            <w:tcW w:w="2418" w:type="dxa"/>
            <w:vMerge w:val="restart"/>
            <w:tcBorders>
              <w:top w:val="single" w:sz="4" w:space="0" w:color="auto"/>
              <w:bottom w:val="single" w:sz="4" w:space="0" w:color="auto"/>
            </w:tcBorders>
          </w:tcPr>
          <w:p w:rsidR="00A66DCF" w:rsidRPr="00284C62" w:rsidRDefault="00A66DCF" w:rsidP="001503CF">
            <w:pPr>
              <w:rPr>
                <w:sz w:val="24"/>
              </w:rPr>
            </w:pPr>
          </w:p>
        </w:tc>
      </w:tr>
      <w:tr w:rsidR="00A66DCF" w:rsidRPr="00284C62" w:rsidTr="00524AE2">
        <w:trPr>
          <w:jc w:val="center"/>
        </w:trPr>
        <w:tc>
          <w:tcPr>
            <w:tcW w:w="2547" w:type="dxa"/>
          </w:tcPr>
          <w:p w:rsidR="00A66DCF" w:rsidRPr="00284C62" w:rsidRDefault="00A66DCF" w:rsidP="001503CF">
            <w:pPr>
              <w:jc w:val="center"/>
              <w:rPr>
                <w:sz w:val="24"/>
              </w:rPr>
            </w:pPr>
          </w:p>
        </w:tc>
        <w:tc>
          <w:tcPr>
            <w:tcW w:w="2410" w:type="dxa"/>
          </w:tcPr>
          <w:p w:rsidR="00A66DCF" w:rsidRPr="00284C62" w:rsidRDefault="00A66DCF" w:rsidP="001503CF">
            <w:pPr>
              <w:jc w:val="center"/>
              <w:rPr>
                <w:sz w:val="24"/>
              </w:rPr>
            </w:pPr>
          </w:p>
        </w:tc>
        <w:tc>
          <w:tcPr>
            <w:tcW w:w="2418" w:type="dxa"/>
            <w:vMerge/>
            <w:tcBorders>
              <w:top w:val="single" w:sz="4" w:space="0" w:color="auto"/>
              <w:bottom w:val="single" w:sz="4" w:space="0" w:color="auto"/>
            </w:tcBorders>
          </w:tcPr>
          <w:p w:rsidR="00A66DCF" w:rsidRPr="00284C62" w:rsidRDefault="00A66DCF" w:rsidP="001503CF">
            <w:pPr>
              <w:rPr>
                <w:sz w:val="24"/>
              </w:rPr>
            </w:pPr>
          </w:p>
        </w:tc>
      </w:tr>
      <w:tr w:rsidR="00A66DCF" w:rsidRPr="00284C62" w:rsidTr="00524AE2">
        <w:trPr>
          <w:jc w:val="center"/>
        </w:trPr>
        <w:tc>
          <w:tcPr>
            <w:tcW w:w="2547" w:type="dxa"/>
          </w:tcPr>
          <w:p w:rsidR="00A66DCF" w:rsidRPr="00284C62" w:rsidRDefault="00A66DCF" w:rsidP="001503CF">
            <w:pPr>
              <w:jc w:val="center"/>
              <w:rPr>
                <w:sz w:val="24"/>
              </w:rPr>
            </w:pPr>
            <w:r w:rsidRPr="00284C62">
              <w:rPr>
                <w:sz w:val="24"/>
              </w:rPr>
              <w:t>28 Octubre</w:t>
            </w:r>
          </w:p>
        </w:tc>
        <w:tc>
          <w:tcPr>
            <w:tcW w:w="2410" w:type="dxa"/>
          </w:tcPr>
          <w:p w:rsidR="00A66DCF" w:rsidRPr="00284C62" w:rsidRDefault="00A66DCF" w:rsidP="001503CF">
            <w:pPr>
              <w:jc w:val="center"/>
              <w:rPr>
                <w:sz w:val="24"/>
              </w:rPr>
            </w:pPr>
            <w:r w:rsidRPr="00284C62">
              <w:rPr>
                <w:sz w:val="24"/>
              </w:rPr>
              <w:t>37</w:t>
            </w:r>
          </w:p>
        </w:tc>
        <w:tc>
          <w:tcPr>
            <w:tcW w:w="2418" w:type="dxa"/>
            <w:vMerge/>
            <w:tcBorders>
              <w:top w:val="single" w:sz="4" w:space="0" w:color="auto"/>
              <w:bottom w:val="single" w:sz="4" w:space="0" w:color="auto"/>
            </w:tcBorders>
          </w:tcPr>
          <w:p w:rsidR="00A66DCF" w:rsidRPr="00284C62" w:rsidRDefault="00A66DCF" w:rsidP="001503CF">
            <w:pPr>
              <w:rPr>
                <w:sz w:val="24"/>
              </w:rPr>
            </w:pPr>
          </w:p>
        </w:tc>
      </w:tr>
      <w:tr w:rsidR="00A66DCF" w:rsidRPr="00284C62" w:rsidTr="00524AE2">
        <w:trPr>
          <w:jc w:val="center"/>
        </w:trPr>
        <w:tc>
          <w:tcPr>
            <w:tcW w:w="2547" w:type="dxa"/>
            <w:tcBorders>
              <w:bottom w:val="single" w:sz="4" w:space="0" w:color="auto"/>
            </w:tcBorders>
          </w:tcPr>
          <w:p w:rsidR="00A66DCF" w:rsidRPr="00284C62" w:rsidRDefault="00A66DCF" w:rsidP="001503CF">
            <w:pPr>
              <w:jc w:val="center"/>
              <w:rPr>
                <w:sz w:val="24"/>
              </w:rPr>
            </w:pPr>
            <w:r w:rsidRPr="00284C62">
              <w:rPr>
                <w:sz w:val="24"/>
              </w:rPr>
              <w:t>27 Noviembre</w:t>
            </w:r>
          </w:p>
        </w:tc>
        <w:tc>
          <w:tcPr>
            <w:tcW w:w="2410" w:type="dxa"/>
            <w:tcBorders>
              <w:bottom w:val="single" w:sz="4" w:space="0" w:color="auto"/>
            </w:tcBorders>
          </w:tcPr>
          <w:p w:rsidR="00A66DCF" w:rsidRPr="00284C62" w:rsidRDefault="00A66DCF" w:rsidP="001503CF">
            <w:pPr>
              <w:jc w:val="center"/>
              <w:rPr>
                <w:sz w:val="24"/>
              </w:rPr>
            </w:pPr>
            <w:r w:rsidRPr="00284C62">
              <w:rPr>
                <w:sz w:val="24"/>
              </w:rPr>
              <w:t>29</w:t>
            </w:r>
          </w:p>
        </w:tc>
        <w:tc>
          <w:tcPr>
            <w:tcW w:w="2418" w:type="dxa"/>
            <w:vMerge/>
            <w:tcBorders>
              <w:top w:val="single" w:sz="4" w:space="0" w:color="auto"/>
              <w:bottom w:val="single" w:sz="4" w:space="0" w:color="auto"/>
            </w:tcBorders>
          </w:tcPr>
          <w:p w:rsidR="00A66DCF" w:rsidRPr="00284C62" w:rsidRDefault="00A66DCF" w:rsidP="001503CF">
            <w:pPr>
              <w:rPr>
                <w:sz w:val="24"/>
              </w:rPr>
            </w:pPr>
          </w:p>
        </w:tc>
      </w:tr>
      <w:tr w:rsidR="00A66DCF" w:rsidRPr="00284C62" w:rsidTr="00524AE2">
        <w:trPr>
          <w:jc w:val="center"/>
        </w:trPr>
        <w:tc>
          <w:tcPr>
            <w:tcW w:w="2547" w:type="dxa"/>
            <w:tcBorders>
              <w:top w:val="single" w:sz="4" w:space="0" w:color="auto"/>
              <w:bottom w:val="single" w:sz="4" w:space="0" w:color="auto"/>
            </w:tcBorders>
          </w:tcPr>
          <w:p w:rsidR="00A66DCF" w:rsidRPr="00284C62" w:rsidRDefault="00A66DCF" w:rsidP="001503CF">
            <w:pPr>
              <w:jc w:val="center"/>
              <w:rPr>
                <w:sz w:val="24"/>
              </w:rPr>
            </w:pPr>
            <w:r w:rsidRPr="00284C62">
              <w:rPr>
                <w:sz w:val="24"/>
              </w:rPr>
              <w:t>12 Diciembre</w:t>
            </w:r>
          </w:p>
        </w:tc>
        <w:tc>
          <w:tcPr>
            <w:tcW w:w="2410" w:type="dxa"/>
            <w:tcBorders>
              <w:top w:val="single" w:sz="4" w:space="0" w:color="auto"/>
              <w:bottom w:val="single" w:sz="4" w:space="0" w:color="auto"/>
            </w:tcBorders>
          </w:tcPr>
          <w:p w:rsidR="00A66DCF" w:rsidRPr="00284C62" w:rsidRDefault="00A66DCF" w:rsidP="001503CF">
            <w:pPr>
              <w:jc w:val="center"/>
              <w:rPr>
                <w:sz w:val="24"/>
              </w:rPr>
            </w:pPr>
            <w:r w:rsidRPr="00284C62">
              <w:rPr>
                <w:sz w:val="24"/>
              </w:rPr>
              <w:t>28</w:t>
            </w:r>
          </w:p>
        </w:tc>
        <w:tc>
          <w:tcPr>
            <w:tcW w:w="2418" w:type="dxa"/>
            <w:vMerge/>
            <w:tcBorders>
              <w:top w:val="single" w:sz="4" w:space="0" w:color="auto"/>
              <w:bottom w:val="single" w:sz="4" w:space="0" w:color="auto"/>
            </w:tcBorders>
          </w:tcPr>
          <w:p w:rsidR="00A66DCF" w:rsidRPr="00284C62" w:rsidRDefault="00A66DCF" w:rsidP="001503CF">
            <w:pPr>
              <w:rPr>
                <w:sz w:val="24"/>
              </w:rPr>
            </w:pPr>
          </w:p>
        </w:tc>
      </w:tr>
    </w:tbl>
    <w:p w:rsidR="00A66DCF" w:rsidRPr="00A66DCF" w:rsidRDefault="00A66DCF" w:rsidP="00A66DCF">
      <w:pPr>
        <w:pStyle w:val="TextoNormal"/>
        <w:ind w:firstLine="0"/>
        <w:jc w:val="center"/>
        <w:rPr>
          <w:sz w:val="20"/>
          <w:szCs w:val="20"/>
        </w:rPr>
      </w:pPr>
      <w:r>
        <w:rPr>
          <w:sz w:val="20"/>
          <w:szCs w:val="20"/>
        </w:rPr>
        <w:t>Fuente: Elaboración propia</w:t>
      </w:r>
    </w:p>
    <w:p w:rsidR="00A66DCF" w:rsidRDefault="00A66DCF" w:rsidP="00A66DCF">
      <w:pPr>
        <w:pStyle w:val="TextoNormal"/>
        <w:ind w:firstLine="0"/>
        <w:rPr>
          <w:sz w:val="22"/>
          <w:szCs w:val="22"/>
        </w:rPr>
      </w:pPr>
    </w:p>
    <w:p w:rsidR="00A66DCF" w:rsidRDefault="00A66DCF" w:rsidP="00200B1D">
      <w:pPr>
        <w:pStyle w:val="Prrafodelista"/>
        <w:spacing w:line="240" w:lineRule="auto"/>
        <w:ind w:left="1080"/>
        <w:jc w:val="both"/>
        <w:rPr>
          <w:rFonts w:ascii="Times New Roman" w:hAnsi="Times New Roman"/>
          <w:sz w:val="24"/>
          <w:szCs w:val="24"/>
        </w:rPr>
      </w:pPr>
      <w:r w:rsidRPr="00C12F88">
        <w:rPr>
          <w:rFonts w:ascii="Times New Roman" w:hAnsi="Times New Roman"/>
          <w:sz w:val="24"/>
          <w:szCs w:val="24"/>
        </w:rPr>
        <w:t xml:space="preserve">Planteamiento didáctico: </w:t>
      </w:r>
      <w:r>
        <w:rPr>
          <w:rFonts w:ascii="Times New Roman" w:hAnsi="Times New Roman"/>
          <w:sz w:val="24"/>
          <w:szCs w:val="24"/>
        </w:rPr>
        <w:t>esta actividad tiene un gran potencial didáctico puesto que muestra a los estudiantes la necesidad de tomar datos que apoyen las hipótesis. Una vez obtenidos los mismos, es necesario ayudarles a realizar el cálculo correcto. La inserción de dicho resultado en la tabla otorga sentido al caso de estudio mostrando la coherencia con el resto de datos de la misma.</w:t>
      </w:r>
    </w:p>
    <w:p w:rsidR="00A66DCF" w:rsidRDefault="00A66DCF" w:rsidP="00A66DCF">
      <w:pPr>
        <w:pStyle w:val="Prrafodelista"/>
        <w:numPr>
          <w:ilvl w:val="0"/>
          <w:numId w:val="44"/>
        </w:numPr>
        <w:spacing w:line="240" w:lineRule="auto"/>
        <w:ind w:left="567" w:firstLine="0"/>
        <w:jc w:val="both"/>
        <w:rPr>
          <w:rFonts w:ascii="Times New Roman" w:hAnsi="Times New Roman"/>
          <w:sz w:val="24"/>
          <w:szCs w:val="24"/>
        </w:rPr>
      </w:pPr>
      <w:r w:rsidRPr="001F72A8">
        <w:rPr>
          <w:rFonts w:ascii="Times New Roman" w:hAnsi="Times New Roman"/>
          <w:sz w:val="24"/>
          <w:szCs w:val="24"/>
        </w:rPr>
        <w:t xml:space="preserve">Fase de conclusión: </w:t>
      </w:r>
    </w:p>
    <w:p w:rsidR="00A66DCF" w:rsidRPr="001F72A8" w:rsidRDefault="00A66DCF" w:rsidP="00A66DCF">
      <w:pPr>
        <w:pStyle w:val="Prrafodelista"/>
        <w:numPr>
          <w:ilvl w:val="0"/>
          <w:numId w:val="45"/>
        </w:numPr>
        <w:spacing w:line="240" w:lineRule="auto"/>
        <w:jc w:val="both"/>
        <w:rPr>
          <w:rFonts w:ascii="Times New Roman" w:hAnsi="Times New Roman"/>
          <w:sz w:val="24"/>
          <w:szCs w:val="24"/>
        </w:rPr>
      </w:pPr>
      <w:r w:rsidRPr="001F72A8">
        <w:rPr>
          <w:rFonts w:ascii="Times New Roman" w:hAnsi="Times New Roman"/>
          <w:sz w:val="24"/>
          <w:szCs w:val="24"/>
        </w:rPr>
        <w:t xml:space="preserve">Actividad 4: </w:t>
      </w:r>
      <w:r>
        <w:rPr>
          <w:rFonts w:ascii="Times New Roman" w:hAnsi="Times New Roman"/>
          <w:sz w:val="24"/>
          <w:szCs w:val="24"/>
        </w:rPr>
        <w:t>convierte</w:t>
      </w:r>
      <w:r w:rsidRPr="001F72A8">
        <w:rPr>
          <w:rFonts w:ascii="Times New Roman" w:hAnsi="Times New Roman"/>
          <w:sz w:val="24"/>
          <w:szCs w:val="24"/>
        </w:rPr>
        <w:t xml:space="preserve"> los datos de la tabla en una gráfica de barras para su mejor interpretación.</w:t>
      </w:r>
      <w:r>
        <w:rPr>
          <w:rFonts w:ascii="Times New Roman" w:hAnsi="Times New Roman"/>
          <w:sz w:val="24"/>
          <w:szCs w:val="24"/>
        </w:rPr>
        <w:t xml:space="preserve"> </w:t>
      </w:r>
      <w:r w:rsidRPr="001F72A8">
        <w:rPr>
          <w:rFonts w:ascii="Times New Roman" w:hAnsi="Times New Roman"/>
          <w:sz w:val="24"/>
          <w:szCs w:val="24"/>
        </w:rPr>
        <w:t>¿A qué conclusión se llega después de analizar los resultados del experimento?</w:t>
      </w:r>
    </w:p>
    <w:p w:rsidR="00A66DCF" w:rsidRDefault="00A66DCF" w:rsidP="00200B1D">
      <w:pPr>
        <w:pStyle w:val="Prrafodelista"/>
        <w:spacing w:line="240" w:lineRule="auto"/>
        <w:ind w:left="1080"/>
        <w:jc w:val="both"/>
        <w:rPr>
          <w:rFonts w:ascii="Times New Roman" w:hAnsi="Times New Roman"/>
          <w:sz w:val="24"/>
          <w:szCs w:val="24"/>
        </w:rPr>
      </w:pPr>
      <w:r w:rsidRPr="00ED1275">
        <w:rPr>
          <w:rFonts w:ascii="Times New Roman" w:hAnsi="Times New Roman"/>
          <w:sz w:val="24"/>
          <w:szCs w:val="24"/>
        </w:rPr>
        <w:t>Planteamiento didáctico:</w:t>
      </w:r>
      <w:r>
        <w:rPr>
          <w:rFonts w:ascii="Times New Roman" w:hAnsi="Times New Roman"/>
          <w:sz w:val="24"/>
          <w:szCs w:val="24"/>
        </w:rPr>
        <w:t xml:space="preserve"> analizar los datos en forma de gráfica ayuda a los estudiantes a relacionar las estaciones con diferentes grados de inclinación de los rayos solares. Así, pueden llegar más fácilmente a concluir que la hipótesis es correcta.</w:t>
      </w:r>
    </w:p>
    <w:p w:rsidR="00A66DCF" w:rsidRDefault="00A66DCF" w:rsidP="00A66DCF">
      <w:pPr>
        <w:pStyle w:val="Prrafodelista"/>
        <w:numPr>
          <w:ilvl w:val="0"/>
          <w:numId w:val="44"/>
        </w:numPr>
        <w:spacing w:line="240" w:lineRule="auto"/>
        <w:jc w:val="both"/>
        <w:rPr>
          <w:rFonts w:ascii="Times New Roman" w:hAnsi="Times New Roman"/>
          <w:sz w:val="24"/>
          <w:szCs w:val="24"/>
        </w:rPr>
      </w:pPr>
      <w:r w:rsidRPr="00ED1275">
        <w:rPr>
          <w:rFonts w:ascii="Times New Roman" w:hAnsi="Times New Roman"/>
          <w:sz w:val="24"/>
          <w:szCs w:val="24"/>
        </w:rPr>
        <w:t xml:space="preserve">Fase de discusión: </w:t>
      </w:r>
    </w:p>
    <w:p w:rsidR="00A66DCF" w:rsidRDefault="00A66DCF" w:rsidP="00A66DCF">
      <w:pPr>
        <w:pStyle w:val="Prrafodelista"/>
        <w:numPr>
          <w:ilvl w:val="0"/>
          <w:numId w:val="45"/>
        </w:numPr>
        <w:spacing w:line="240" w:lineRule="auto"/>
        <w:jc w:val="both"/>
        <w:rPr>
          <w:rFonts w:ascii="Times New Roman" w:hAnsi="Times New Roman"/>
          <w:sz w:val="24"/>
          <w:szCs w:val="24"/>
        </w:rPr>
      </w:pPr>
      <w:r w:rsidRPr="00ED1275">
        <w:rPr>
          <w:rFonts w:ascii="Times New Roman" w:hAnsi="Times New Roman"/>
          <w:sz w:val="24"/>
          <w:szCs w:val="24"/>
        </w:rPr>
        <w:t>Actividad</w:t>
      </w:r>
      <w:r>
        <w:rPr>
          <w:rFonts w:ascii="Times New Roman" w:hAnsi="Times New Roman"/>
          <w:sz w:val="24"/>
          <w:szCs w:val="24"/>
        </w:rPr>
        <w:t xml:space="preserve"> 5</w:t>
      </w:r>
      <w:r w:rsidRPr="00ED1275">
        <w:rPr>
          <w:rFonts w:ascii="Times New Roman" w:hAnsi="Times New Roman"/>
          <w:sz w:val="24"/>
          <w:szCs w:val="24"/>
        </w:rPr>
        <w:t xml:space="preserve">: </w:t>
      </w:r>
      <w:r>
        <w:rPr>
          <w:rFonts w:ascii="Times New Roman" w:hAnsi="Times New Roman"/>
          <w:sz w:val="24"/>
          <w:szCs w:val="24"/>
        </w:rPr>
        <w:t xml:space="preserve">muestra tus </w:t>
      </w:r>
      <w:r w:rsidRPr="00ED1275">
        <w:rPr>
          <w:rFonts w:ascii="Times New Roman" w:hAnsi="Times New Roman"/>
          <w:sz w:val="24"/>
          <w:szCs w:val="24"/>
        </w:rPr>
        <w:t>hallazgos a los demás</w:t>
      </w:r>
      <w:r>
        <w:rPr>
          <w:rFonts w:ascii="Times New Roman" w:hAnsi="Times New Roman"/>
          <w:sz w:val="24"/>
          <w:szCs w:val="24"/>
        </w:rPr>
        <w:t xml:space="preserve"> compañeros. Puedes utilizar dibujos, maquetas, simulaciones o cualquier otro recurso que te pueda ayudar en tu argumentación</w:t>
      </w:r>
      <w:r w:rsidRPr="00ED1275">
        <w:rPr>
          <w:rFonts w:ascii="Times New Roman" w:hAnsi="Times New Roman"/>
          <w:sz w:val="24"/>
          <w:szCs w:val="24"/>
        </w:rPr>
        <w:t xml:space="preserve">. </w:t>
      </w:r>
    </w:p>
    <w:p w:rsidR="00A66DCF" w:rsidRPr="00ED1275" w:rsidRDefault="00A66DCF" w:rsidP="00A66DCF">
      <w:pPr>
        <w:pStyle w:val="Prrafodelista"/>
        <w:numPr>
          <w:ilvl w:val="0"/>
          <w:numId w:val="45"/>
        </w:numPr>
        <w:spacing w:line="240" w:lineRule="auto"/>
        <w:jc w:val="both"/>
        <w:rPr>
          <w:rFonts w:ascii="Times New Roman" w:hAnsi="Times New Roman"/>
          <w:sz w:val="24"/>
          <w:szCs w:val="24"/>
        </w:rPr>
      </w:pPr>
      <w:r>
        <w:rPr>
          <w:rFonts w:ascii="Times New Roman" w:hAnsi="Times New Roman"/>
          <w:sz w:val="24"/>
          <w:szCs w:val="24"/>
        </w:rPr>
        <w:t>Actividad final</w:t>
      </w:r>
      <w:r w:rsidRPr="00ED1275">
        <w:rPr>
          <w:rFonts w:ascii="Times New Roman" w:hAnsi="Times New Roman"/>
          <w:sz w:val="24"/>
          <w:szCs w:val="24"/>
        </w:rPr>
        <w:t>:</w:t>
      </w:r>
      <w:r>
        <w:rPr>
          <w:rFonts w:ascii="Times New Roman" w:hAnsi="Times New Roman"/>
          <w:sz w:val="24"/>
          <w:szCs w:val="24"/>
        </w:rPr>
        <w:t xml:space="preserve"> comparte tus reflexiones sobre la investigación realizada.</w:t>
      </w:r>
    </w:p>
    <w:p w:rsidR="00A66DCF" w:rsidRPr="00ED1275" w:rsidRDefault="00A66DCF" w:rsidP="00200B1D">
      <w:pPr>
        <w:pStyle w:val="Prrafodelista"/>
        <w:spacing w:line="240" w:lineRule="auto"/>
        <w:ind w:left="1080"/>
        <w:jc w:val="both"/>
        <w:rPr>
          <w:rFonts w:ascii="Times New Roman" w:hAnsi="Times New Roman"/>
          <w:sz w:val="24"/>
          <w:szCs w:val="24"/>
        </w:rPr>
      </w:pPr>
      <w:r w:rsidRPr="00ED1275">
        <w:rPr>
          <w:rFonts w:ascii="Times New Roman" w:hAnsi="Times New Roman"/>
          <w:sz w:val="24"/>
          <w:szCs w:val="24"/>
        </w:rPr>
        <w:t xml:space="preserve">Planteamiento didáctico: </w:t>
      </w:r>
      <w:r>
        <w:rPr>
          <w:rFonts w:ascii="Times New Roman" w:hAnsi="Times New Roman"/>
          <w:sz w:val="24"/>
          <w:szCs w:val="24"/>
        </w:rPr>
        <w:t>cada alumno, o grupo, si se ha planteado como trabajo cooperativo, expone su investigación a los demás compañeros de la clase, con la ayuda de cualquier medio de modelización que permita una mejor comprensión del fenómeno estudiado. Los modelos pueden ser generados por los propios estudiantes o facilitados por el profesor en aquellos casos en los que los estudiantes necesiten esa ayuda. Se fomentará especialmente la capacidad de argumentación. Posteriormente, para finalizar, se realiza una reflexión conjunta para desarrollar tanto la comprensión de la naturaleza de la ciencia como el pensamiento crítico de los estudiantes.</w:t>
      </w:r>
    </w:p>
    <w:p w:rsidR="00A66DCF" w:rsidRPr="00A66DCF" w:rsidRDefault="00A66DCF" w:rsidP="00A66DCF">
      <w:pPr>
        <w:pStyle w:val="Encabezado1"/>
      </w:pPr>
      <w:r>
        <w:t>RESULTADOS</w:t>
      </w:r>
    </w:p>
    <w:p w:rsidR="00A66DCF" w:rsidRDefault="00A66DCF" w:rsidP="005A231F">
      <w:pPr>
        <w:pStyle w:val="TextoNormal"/>
        <w:ind w:firstLine="0"/>
        <w:rPr>
          <w:b/>
        </w:rPr>
      </w:pPr>
    </w:p>
    <w:p w:rsidR="00A66DCF" w:rsidRDefault="00A66DCF" w:rsidP="005A231F">
      <w:pPr>
        <w:pStyle w:val="TextoNormal"/>
        <w:ind w:firstLine="0"/>
        <w:rPr>
          <w:b/>
        </w:rPr>
      </w:pPr>
      <w:r>
        <w:rPr>
          <w:b/>
        </w:rPr>
        <w:t>5.1 Valoración de la prueba de competencia científica</w:t>
      </w:r>
    </w:p>
    <w:p w:rsidR="00A66DCF" w:rsidRDefault="00A66DCF" w:rsidP="005A231F">
      <w:pPr>
        <w:pStyle w:val="TextoNormal"/>
        <w:ind w:firstLine="0"/>
        <w:rPr>
          <w:b/>
        </w:rPr>
      </w:pPr>
    </w:p>
    <w:p w:rsidR="00A66DCF" w:rsidRPr="00E92E69" w:rsidRDefault="00A66DCF" w:rsidP="00A66DCF">
      <w:pPr>
        <w:ind w:firstLine="567"/>
        <w:rPr>
          <w:sz w:val="24"/>
        </w:rPr>
      </w:pPr>
      <w:r>
        <w:rPr>
          <w:sz w:val="24"/>
        </w:rPr>
        <w:t xml:space="preserve">En cuanto al análisis de </w:t>
      </w:r>
      <w:r w:rsidRPr="0018704F">
        <w:rPr>
          <w:sz w:val="24"/>
        </w:rPr>
        <w:t xml:space="preserve">la fiabilidad </w:t>
      </w:r>
      <w:r>
        <w:rPr>
          <w:sz w:val="24"/>
        </w:rPr>
        <w:t>de la prueba, se utilizaron</w:t>
      </w:r>
      <w:r w:rsidRPr="0018704F">
        <w:rPr>
          <w:sz w:val="24"/>
        </w:rPr>
        <w:t xml:space="preserve"> dos procedimient</w:t>
      </w:r>
      <w:r>
        <w:rPr>
          <w:sz w:val="24"/>
        </w:rPr>
        <w:t xml:space="preserve">os. Por </w:t>
      </w:r>
      <w:proofErr w:type="gramStart"/>
      <w:r>
        <w:rPr>
          <w:sz w:val="24"/>
        </w:rPr>
        <w:t>un</w:t>
      </w:r>
      <w:proofErr w:type="gramEnd"/>
      <w:r>
        <w:rPr>
          <w:sz w:val="24"/>
        </w:rPr>
        <w:t xml:space="preserve"> lado, se calculó</w:t>
      </w:r>
      <w:r w:rsidRPr="0018704F">
        <w:rPr>
          <w:sz w:val="24"/>
        </w:rPr>
        <w:t xml:space="preserve"> su consistencia interna utilizando </w:t>
      </w:r>
      <w:r>
        <w:rPr>
          <w:sz w:val="24"/>
        </w:rPr>
        <w:t>el coeficiente alfa de Cronbach. En la prueba piloto, el valor de alfa fue 0</w:t>
      </w:r>
      <w:proofErr w:type="gramStart"/>
      <w:r>
        <w:rPr>
          <w:sz w:val="24"/>
        </w:rPr>
        <w:t>,68</w:t>
      </w:r>
      <w:proofErr w:type="gramEnd"/>
      <w:r>
        <w:rPr>
          <w:sz w:val="24"/>
        </w:rPr>
        <w:t>, mientras que en la prueba aplicada en la investigación arrojó un valor de 0,75. Por tanto</w:t>
      </w:r>
      <w:r w:rsidRPr="00E92E69">
        <w:rPr>
          <w:sz w:val="24"/>
        </w:rPr>
        <w:t xml:space="preserve">, el valor de alfa </w:t>
      </w:r>
      <w:r>
        <w:rPr>
          <w:sz w:val="24"/>
        </w:rPr>
        <w:t xml:space="preserve">obtenido </w:t>
      </w:r>
      <w:r w:rsidRPr="00E92E69">
        <w:rPr>
          <w:sz w:val="24"/>
        </w:rPr>
        <w:t>indica una buena consistencia interna (</w:t>
      </w:r>
      <w:r>
        <w:rPr>
          <w:sz w:val="24"/>
        </w:rPr>
        <w:t xml:space="preserve">Oviedo y Arias, 2005). </w:t>
      </w:r>
    </w:p>
    <w:p w:rsidR="00A66DCF" w:rsidRDefault="00A66DCF" w:rsidP="00A66DCF">
      <w:pPr>
        <w:ind w:firstLine="567"/>
        <w:rPr>
          <w:sz w:val="24"/>
        </w:rPr>
      </w:pPr>
      <w:r>
        <w:rPr>
          <w:sz w:val="24"/>
        </w:rPr>
        <w:t>Por otro lado, se calculó</w:t>
      </w:r>
      <w:r w:rsidRPr="0018704F">
        <w:rPr>
          <w:sz w:val="24"/>
        </w:rPr>
        <w:t xml:space="preserve"> la capacidad de discriminación de los ítems de la prueba. Dicha discriminación se puede valorar </w:t>
      </w:r>
      <w:r>
        <w:rPr>
          <w:sz w:val="24"/>
        </w:rPr>
        <w:t xml:space="preserve">mediante el índice de homogeneidad, que </w:t>
      </w:r>
      <w:r w:rsidRPr="0018704F">
        <w:rPr>
          <w:sz w:val="24"/>
        </w:rPr>
        <w:t xml:space="preserve">nos indica el grado en que el </w:t>
      </w:r>
      <w:proofErr w:type="gramStart"/>
      <w:r w:rsidRPr="0018704F">
        <w:rPr>
          <w:sz w:val="24"/>
        </w:rPr>
        <w:t>un</w:t>
      </w:r>
      <w:proofErr w:type="gramEnd"/>
      <w:r w:rsidRPr="0018704F">
        <w:rPr>
          <w:sz w:val="24"/>
        </w:rPr>
        <w:t xml:space="preserve"> ítem cualquiera de la prueba mide la misma variable que </w:t>
      </w:r>
      <w:r>
        <w:rPr>
          <w:sz w:val="24"/>
        </w:rPr>
        <w:t>todos los demás. Se obtuvo</w:t>
      </w:r>
      <w:r w:rsidRPr="0018704F">
        <w:rPr>
          <w:sz w:val="24"/>
        </w:rPr>
        <w:t xml:space="preserve"> mediante la correlación entre la puntuación de cada ítem y la puntuación total de la prueba. </w:t>
      </w:r>
      <w:r>
        <w:rPr>
          <w:sz w:val="24"/>
        </w:rPr>
        <w:t>Se revisaron o eliminaron aquellos ítems por debajo de 0</w:t>
      </w:r>
      <w:proofErr w:type="gramStart"/>
      <w:r>
        <w:rPr>
          <w:sz w:val="24"/>
        </w:rPr>
        <w:t>,30</w:t>
      </w:r>
      <w:proofErr w:type="gramEnd"/>
      <w:r>
        <w:rPr>
          <w:sz w:val="24"/>
        </w:rPr>
        <w:t xml:space="preserve"> en el</w:t>
      </w:r>
      <w:r w:rsidR="00524AE2">
        <w:rPr>
          <w:sz w:val="24"/>
        </w:rPr>
        <w:t xml:space="preserve"> índice de homogeneidad (tabla 4</w:t>
      </w:r>
      <w:r>
        <w:rPr>
          <w:sz w:val="24"/>
        </w:rPr>
        <w:t>). Si p</w:t>
      </w:r>
      <w:r w:rsidRPr="0018704F">
        <w:rPr>
          <w:sz w:val="24"/>
        </w:rPr>
        <w:t xml:space="preserve"> ≥ 0.40</w:t>
      </w:r>
      <w:r>
        <w:rPr>
          <w:sz w:val="24"/>
        </w:rPr>
        <w:t>,</w:t>
      </w:r>
      <w:r w:rsidRPr="0018704F">
        <w:rPr>
          <w:sz w:val="24"/>
        </w:rPr>
        <w:t xml:space="preserve"> el ítem tiene gran poder discriminativo</w:t>
      </w:r>
      <w:r>
        <w:rPr>
          <w:sz w:val="24"/>
        </w:rPr>
        <w:t>, si 0.30 ≤ p</w:t>
      </w:r>
      <w:r w:rsidRPr="0018704F">
        <w:rPr>
          <w:sz w:val="24"/>
        </w:rPr>
        <w:t xml:space="preserve"> ≤ 0.39 la discriminación es aceptable</w:t>
      </w:r>
      <w:r>
        <w:rPr>
          <w:sz w:val="24"/>
        </w:rPr>
        <w:t xml:space="preserve">, si 0.20 ≤ p ≤ </w:t>
      </w:r>
      <w:r>
        <w:rPr>
          <w:sz w:val="24"/>
        </w:rPr>
        <w:lastRenderedPageBreak/>
        <w:t>0.2</w:t>
      </w:r>
      <w:r w:rsidRPr="0018704F">
        <w:rPr>
          <w:sz w:val="24"/>
        </w:rPr>
        <w:t xml:space="preserve">9 el ítem discrimina poco y necesita una </w:t>
      </w:r>
      <w:r>
        <w:rPr>
          <w:sz w:val="24"/>
        </w:rPr>
        <w:t>revisión, s</w:t>
      </w:r>
      <w:r w:rsidRPr="0018704F">
        <w:rPr>
          <w:sz w:val="24"/>
        </w:rPr>
        <w:t xml:space="preserve">i </w:t>
      </w:r>
      <w:r>
        <w:rPr>
          <w:sz w:val="24"/>
        </w:rPr>
        <w:t>p ≤ 0.20</w:t>
      </w:r>
      <w:r w:rsidRPr="0018704F">
        <w:rPr>
          <w:sz w:val="24"/>
        </w:rPr>
        <w:t xml:space="preserve"> el ítem no es adecuado </w:t>
      </w:r>
      <w:r>
        <w:rPr>
          <w:sz w:val="24"/>
        </w:rPr>
        <w:t xml:space="preserve">y debe ser modificado o eliminado </w:t>
      </w:r>
      <w:r w:rsidRPr="00BB5EE7">
        <w:rPr>
          <w:sz w:val="24"/>
        </w:rPr>
        <w:t xml:space="preserve">(Ebel y Frisbie, 1986). </w:t>
      </w:r>
      <w:r>
        <w:rPr>
          <w:sz w:val="24"/>
        </w:rPr>
        <w:t xml:space="preserve">Por tanto, se revisaron 12 de los 36 ítems de la prueba piloto y se eliminaron otros 12, de tal forma que los valores de discriminación de la mayoría de los ítems seleccionados para el test de competencia científica fueron buenos o excelentes, garantizándose de esta manera </w:t>
      </w:r>
      <w:r w:rsidRPr="0018704F">
        <w:rPr>
          <w:sz w:val="24"/>
        </w:rPr>
        <w:t>la co</w:t>
      </w:r>
      <w:r>
        <w:rPr>
          <w:sz w:val="24"/>
        </w:rPr>
        <w:t>nsistencia interna de la prueba.</w:t>
      </w:r>
    </w:p>
    <w:p w:rsidR="00A66DCF" w:rsidRDefault="00A66DCF" w:rsidP="00A66DCF">
      <w:pPr>
        <w:ind w:firstLine="567"/>
        <w:rPr>
          <w:sz w:val="24"/>
        </w:rPr>
      </w:pPr>
    </w:p>
    <w:p w:rsidR="001503CF" w:rsidRDefault="001503CF" w:rsidP="001503CF">
      <w:pPr>
        <w:pStyle w:val="phmfigures"/>
        <w:spacing w:before="0"/>
        <w:ind w:firstLine="0"/>
        <w:rPr>
          <w:sz w:val="22"/>
        </w:rPr>
      </w:pPr>
      <w:r>
        <w:rPr>
          <w:b/>
          <w:smallCaps/>
          <w:sz w:val="22"/>
        </w:rPr>
        <w:t>Tabla</w:t>
      </w:r>
      <w:r w:rsidRPr="000156AB">
        <w:rPr>
          <w:b/>
          <w:smallCaps/>
          <w:sz w:val="22"/>
        </w:rPr>
        <w:t xml:space="preserve"> </w:t>
      </w:r>
      <w:r w:rsidR="00524AE2">
        <w:rPr>
          <w:b/>
          <w:smallCaps/>
          <w:noProof w:val="0"/>
          <w:sz w:val="22"/>
        </w:rPr>
        <w:t>4</w:t>
      </w:r>
      <w:r w:rsidRPr="000156AB">
        <w:rPr>
          <w:b/>
          <w:smallCaps/>
          <w:sz w:val="22"/>
        </w:rPr>
        <w:t>.</w:t>
      </w:r>
      <w:r>
        <w:rPr>
          <w:b/>
          <w:smallCaps/>
          <w:sz w:val="22"/>
        </w:rPr>
        <w:t xml:space="preserve"> </w:t>
      </w:r>
      <w:r>
        <w:rPr>
          <w:sz w:val="22"/>
        </w:rPr>
        <w:t>Índices de homogeneidad de los ítems de la prueba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96"/>
        <w:gridCol w:w="851"/>
        <w:gridCol w:w="850"/>
        <w:gridCol w:w="851"/>
        <w:gridCol w:w="850"/>
        <w:gridCol w:w="851"/>
        <w:gridCol w:w="850"/>
        <w:gridCol w:w="851"/>
        <w:gridCol w:w="844"/>
      </w:tblGrid>
      <w:tr w:rsidR="001503CF" w:rsidRPr="00524AE2" w:rsidTr="001503CF">
        <w:trPr>
          <w:trHeight w:val="547"/>
          <w:jc w:val="center"/>
        </w:trPr>
        <w:tc>
          <w:tcPr>
            <w:tcW w:w="1696" w:type="dxa"/>
            <w:tcBorders>
              <w:left w:val="nil"/>
              <w:bottom w:val="nil"/>
              <w:right w:val="nil"/>
            </w:tcBorders>
          </w:tcPr>
          <w:p w:rsidR="001503CF" w:rsidRPr="00524AE2" w:rsidRDefault="001503CF" w:rsidP="001503CF">
            <w:pPr>
              <w:spacing w:line="360" w:lineRule="auto"/>
              <w:rPr>
                <w:b/>
                <w:sz w:val="22"/>
                <w:szCs w:val="22"/>
              </w:rPr>
            </w:pPr>
            <w:r w:rsidRPr="00524AE2">
              <w:rPr>
                <w:b/>
                <w:sz w:val="22"/>
                <w:szCs w:val="22"/>
              </w:rPr>
              <w:t>Ítems</w:t>
            </w:r>
          </w:p>
        </w:tc>
        <w:tc>
          <w:tcPr>
            <w:tcW w:w="851" w:type="dxa"/>
            <w:tcBorders>
              <w:left w:val="nil"/>
              <w:bottom w:val="nil"/>
              <w:right w:val="nil"/>
            </w:tcBorders>
          </w:tcPr>
          <w:p w:rsidR="001503CF" w:rsidRPr="00524AE2" w:rsidRDefault="001503CF" w:rsidP="001503CF">
            <w:pPr>
              <w:spacing w:line="360" w:lineRule="auto"/>
              <w:rPr>
                <w:b/>
                <w:sz w:val="22"/>
                <w:szCs w:val="22"/>
              </w:rPr>
            </w:pPr>
            <w:r w:rsidRPr="00524AE2">
              <w:rPr>
                <w:b/>
                <w:sz w:val="22"/>
                <w:szCs w:val="22"/>
              </w:rPr>
              <w:t>1</w:t>
            </w:r>
          </w:p>
        </w:tc>
        <w:tc>
          <w:tcPr>
            <w:tcW w:w="850" w:type="dxa"/>
            <w:tcBorders>
              <w:left w:val="nil"/>
              <w:bottom w:val="nil"/>
              <w:right w:val="nil"/>
            </w:tcBorders>
          </w:tcPr>
          <w:p w:rsidR="001503CF" w:rsidRPr="00524AE2" w:rsidRDefault="001503CF" w:rsidP="001503CF">
            <w:pPr>
              <w:spacing w:line="360" w:lineRule="auto"/>
              <w:rPr>
                <w:b/>
                <w:sz w:val="22"/>
                <w:szCs w:val="22"/>
              </w:rPr>
            </w:pPr>
            <w:r w:rsidRPr="00524AE2">
              <w:rPr>
                <w:b/>
                <w:sz w:val="22"/>
                <w:szCs w:val="22"/>
              </w:rPr>
              <w:t>2</w:t>
            </w:r>
          </w:p>
        </w:tc>
        <w:tc>
          <w:tcPr>
            <w:tcW w:w="851" w:type="dxa"/>
            <w:tcBorders>
              <w:left w:val="nil"/>
              <w:bottom w:val="nil"/>
              <w:right w:val="nil"/>
            </w:tcBorders>
          </w:tcPr>
          <w:p w:rsidR="001503CF" w:rsidRPr="00524AE2" w:rsidRDefault="001503CF" w:rsidP="001503CF">
            <w:pPr>
              <w:spacing w:line="360" w:lineRule="auto"/>
              <w:rPr>
                <w:b/>
                <w:sz w:val="22"/>
                <w:szCs w:val="22"/>
              </w:rPr>
            </w:pPr>
            <w:r w:rsidRPr="00524AE2">
              <w:rPr>
                <w:b/>
                <w:sz w:val="22"/>
                <w:szCs w:val="22"/>
              </w:rPr>
              <w:t>3</w:t>
            </w:r>
          </w:p>
        </w:tc>
        <w:tc>
          <w:tcPr>
            <w:tcW w:w="850" w:type="dxa"/>
            <w:tcBorders>
              <w:left w:val="nil"/>
              <w:bottom w:val="nil"/>
              <w:right w:val="nil"/>
            </w:tcBorders>
          </w:tcPr>
          <w:p w:rsidR="001503CF" w:rsidRPr="00524AE2" w:rsidRDefault="001503CF" w:rsidP="001503CF">
            <w:pPr>
              <w:spacing w:line="360" w:lineRule="auto"/>
              <w:rPr>
                <w:b/>
                <w:sz w:val="22"/>
                <w:szCs w:val="22"/>
              </w:rPr>
            </w:pPr>
            <w:r w:rsidRPr="00524AE2">
              <w:rPr>
                <w:b/>
                <w:sz w:val="22"/>
                <w:szCs w:val="22"/>
              </w:rPr>
              <w:t>4</w:t>
            </w:r>
          </w:p>
        </w:tc>
        <w:tc>
          <w:tcPr>
            <w:tcW w:w="851" w:type="dxa"/>
            <w:tcBorders>
              <w:left w:val="nil"/>
              <w:bottom w:val="nil"/>
              <w:right w:val="nil"/>
            </w:tcBorders>
          </w:tcPr>
          <w:p w:rsidR="001503CF" w:rsidRPr="00524AE2" w:rsidRDefault="001503CF" w:rsidP="001503CF">
            <w:pPr>
              <w:spacing w:line="360" w:lineRule="auto"/>
              <w:rPr>
                <w:b/>
                <w:sz w:val="22"/>
                <w:szCs w:val="22"/>
              </w:rPr>
            </w:pPr>
            <w:r w:rsidRPr="00524AE2">
              <w:rPr>
                <w:b/>
                <w:sz w:val="22"/>
                <w:szCs w:val="22"/>
              </w:rPr>
              <w:t>5</w:t>
            </w:r>
          </w:p>
        </w:tc>
        <w:tc>
          <w:tcPr>
            <w:tcW w:w="850" w:type="dxa"/>
            <w:tcBorders>
              <w:left w:val="nil"/>
              <w:bottom w:val="nil"/>
              <w:right w:val="nil"/>
            </w:tcBorders>
          </w:tcPr>
          <w:p w:rsidR="001503CF" w:rsidRPr="00524AE2" w:rsidRDefault="001503CF" w:rsidP="001503CF">
            <w:pPr>
              <w:spacing w:line="360" w:lineRule="auto"/>
              <w:rPr>
                <w:b/>
                <w:sz w:val="22"/>
                <w:szCs w:val="22"/>
              </w:rPr>
            </w:pPr>
            <w:r w:rsidRPr="00524AE2">
              <w:rPr>
                <w:b/>
                <w:sz w:val="22"/>
                <w:szCs w:val="22"/>
              </w:rPr>
              <w:t>6</w:t>
            </w:r>
          </w:p>
        </w:tc>
        <w:tc>
          <w:tcPr>
            <w:tcW w:w="851" w:type="dxa"/>
            <w:tcBorders>
              <w:left w:val="nil"/>
              <w:bottom w:val="nil"/>
              <w:right w:val="nil"/>
            </w:tcBorders>
          </w:tcPr>
          <w:p w:rsidR="001503CF" w:rsidRPr="00524AE2" w:rsidRDefault="001503CF" w:rsidP="001503CF">
            <w:pPr>
              <w:spacing w:line="360" w:lineRule="auto"/>
              <w:rPr>
                <w:b/>
                <w:sz w:val="22"/>
                <w:szCs w:val="22"/>
              </w:rPr>
            </w:pPr>
            <w:r w:rsidRPr="00524AE2">
              <w:rPr>
                <w:b/>
                <w:sz w:val="22"/>
                <w:szCs w:val="22"/>
              </w:rPr>
              <w:t>7</w:t>
            </w:r>
          </w:p>
        </w:tc>
        <w:tc>
          <w:tcPr>
            <w:tcW w:w="844" w:type="dxa"/>
            <w:tcBorders>
              <w:left w:val="nil"/>
              <w:bottom w:val="nil"/>
              <w:right w:val="nil"/>
            </w:tcBorders>
          </w:tcPr>
          <w:p w:rsidR="001503CF" w:rsidRPr="00524AE2" w:rsidRDefault="001503CF" w:rsidP="001503CF">
            <w:pPr>
              <w:spacing w:line="360" w:lineRule="auto"/>
              <w:rPr>
                <w:b/>
                <w:sz w:val="22"/>
                <w:szCs w:val="22"/>
              </w:rPr>
            </w:pPr>
            <w:r w:rsidRPr="00524AE2">
              <w:rPr>
                <w:b/>
                <w:sz w:val="22"/>
                <w:szCs w:val="22"/>
              </w:rPr>
              <w:t>8</w:t>
            </w:r>
          </w:p>
        </w:tc>
      </w:tr>
      <w:tr w:rsidR="001503CF" w:rsidRPr="00524AE2" w:rsidTr="001503CF">
        <w:trPr>
          <w:jc w:val="center"/>
        </w:trPr>
        <w:tc>
          <w:tcPr>
            <w:tcW w:w="1696" w:type="dxa"/>
            <w:tcBorders>
              <w:top w:val="nil"/>
              <w:left w:val="nil"/>
              <w:right w:val="nil"/>
            </w:tcBorders>
          </w:tcPr>
          <w:p w:rsidR="001503CF" w:rsidRPr="00524AE2" w:rsidRDefault="001503CF" w:rsidP="001503CF">
            <w:pPr>
              <w:spacing w:line="360" w:lineRule="auto"/>
              <w:rPr>
                <w:sz w:val="22"/>
                <w:szCs w:val="22"/>
              </w:rPr>
            </w:pPr>
            <w:r w:rsidRPr="00524AE2">
              <w:rPr>
                <w:sz w:val="22"/>
                <w:szCs w:val="22"/>
              </w:rPr>
              <w:t>Homogeneidad</w:t>
            </w:r>
          </w:p>
        </w:tc>
        <w:tc>
          <w:tcPr>
            <w:tcW w:w="851" w:type="dxa"/>
            <w:tcBorders>
              <w:top w:val="nil"/>
              <w:left w:val="nil"/>
              <w:right w:val="nil"/>
            </w:tcBorders>
          </w:tcPr>
          <w:p w:rsidR="001503CF" w:rsidRPr="00524AE2" w:rsidRDefault="001503CF" w:rsidP="001503CF">
            <w:pPr>
              <w:spacing w:line="360" w:lineRule="auto"/>
              <w:rPr>
                <w:sz w:val="22"/>
                <w:szCs w:val="22"/>
              </w:rPr>
            </w:pPr>
            <w:r w:rsidRPr="00524AE2">
              <w:rPr>
                <w:sz w:val="22"/>
                <w:szCs w:val="22"/>
              </w:rPr>
              <w:t>0,395</w:t>
            </w:r>
          </w:p>
        </w:tc>
        <w:tc>
          <w:tcPr>
            <w:tcW w:w="850" w:type="dxa"/>
            <w:tcBorders>
              <w:top w:val="nil"/>
              <w:left w:val="nil"/>
              <w:right w:val="nil"/>
            </w:tcBorders>
          </w:tcPr>
          <w:p w:rsidR="001503CF" w:rsidRPr="00524AE2" w:rsidRDefault="001503CF" w:rsidP="001503CF">
            <w:pPr>
              <w:rPr>
                <w:sz w:val="22"/>
                <w:szCs w:val="22"/>
              </w:rPr>
            </w:pPr>
            <w:r w:rsidRPr="00524AE2">
              <w:rPr>
                <w:sz w:val="22"/>
                <w:szCs w:val="22"/>
              </w:rPr>
              <w:t>0,400</w:t>
            </w:r>
          </w:p>
        </w:tc>
        <w:tc>
          <w:tcPr>
            <w:tcW w:w="851" w:type="dxa"/>
            <w:tcBorders>
              <w:top w:val="nil"/>
              <w:left w:val="nil"/>
              <w:right w:val="nil"/>
            </w:tcBorders>
          </w:tcPr>
          <w:p w:rsidR="001503CF" w:rsidRPr="00524AE2" w:rsidRDefault="001503CF" w:rsidP="001503CF">
            <w:pPr>
              <w:spacing w:line="360" w:lineRule="auto"/>
              <w:rPr>
                <w:sz w:val="22"/>
                <w:szCs w:val="22"/>
              </w:rPr>
            </w:pPr>
            <w:r w:rsidRPr="00524AE2">
              <w:rPr>
                <w:sz w:val="22"/>
                <w:szCs w:val="22"/>
              </w:rPr>
              <w:t>0,336</w:t>
            </w:r>
          </w:p>
        </w:tc>
        <w:tc>
          <w:tcPr>
            <w:tcW w:w="850" w:type="dxa"/>
            <w:tcBorders>
              <w:top w:val="nil"/>
              <w:left w:val="nil"/>
              <w:right w:val="nil"/>
            </w:tcBorders>
          </w:tcPr>
          <w:p w:rsidR="001503CF" w:rsidRPr="00524AE2" w:rsidRDefault="001503CF" w:rsidP="001503CF">
            <w:pPr>
              <w:spacing w:line="360" w:lineRule="auto"/>
              <w:rPr>
                <w:sz w:val="22"/>
                <w:szCs w:val="22"/>
              </w:rPr>
            </w:pPr>
            <w:r w:rsidRPr="00524AE2">
              <w:rPr>
                <w:sz w:val="22"/>
                <w:szCs w:val="22"/>
              </w:rPr>
              <w:t>0,418</w:t>
            </w:r>
          </w:p>
        </w:tc>
        <w:tc>
          <w:tcPr>
            <w:tcW w:w="851" w:type="dxa"/>
            <w:tcBorders>
              <w:top w:val="nil"/>
              <w:left w:val="nil"/>
              <w:right w:val="nil"/>
            </w:tcBorders>
          </w:tcPr>
          <w:p w:rsidR="001503CF" w:rsidRPr="00524AE2" w:rsidRDefault="001503CF" w:rsidP="001503CF">
            <w:pPr>
              <w:spacing w:line="360" w:lineRule="auto"/>
              <w:rPr>
                <w:sz w:val="22"/>
                <w:szCs w:val="22"/>
              </w:rPr>
            </w:pPr>
            <w:r w:rsidRPr="00524AE2">
              <w:rPr>
                <w:sz w:val="22"/>
                <w:szCs w:val="22"/>
              </w:rPr>
              <w:t>0,282</w:t>
            </w:r>
          </w:p>
        </w:tc>
        <w:tc>
          <w:tcPr>
            <w:tcW w:w="850" w:type="dxa"/>
            <w:tcBorders>
              <w:top w:val="nil"/>
              <w:left w:val="nil"/>
              <w:right w:val="nil"/>
            </w:tcBorders>
          </w:tcPr>
          <w:p w:rsidR="001503CF" w:rsidRPr="00524AE2" w:rsidRDefault="001503CF" w:rsidP="001503CF">
            <w:pPr>
              <w:spacing w:line="360" w:lineRule="auto"/>
              <w:rPr>
                <w:sz w:val="22"/>
                <w:szCs w:val="22"/>
              </w:rPr>
            </w:pPr>
            <w:r w:rsidRPr="00524AE2">
              <w:rPr>
                <w:sz w:val="22"/>
                <w:szCs w:val="22"/>
              </w:rPr>
              <w:t>0,349</w:t>
            </w:r>
          </w:p>
        </w:tc>
        <w:tc>
          <w:tcPr>
            <w:tcW w:w="851" w:type="dxa"/>
            <w:tcBorders>
              <w:top w:val="nil"/>
              <w:left w:val="nil"/>
              <w:right w:val="nil"/>
            </w:tcBorders>
          </w:tcPr>
          <w:p w:rsidR="001503CF" w:rsidRPr="00524AE2" w:rsidRDefault="001503CF" w:rsidP="001503CF">
            <w:pPr>
              <w:spacing w:line="360" w:lineRule="auto"/>
              <w:rPr>
                <w:sz w:val="22"/>
                <w:szCs w:val="22"/>
              </w:rPr>
            </w:pPr>
            <w:r w:rsidRPr="00524AE2">
              <w:rPr>
                <w:sz w:val="22"/>
                <w:szCs w:val="22"/>
              </w:rPr>
              <w:t>0,436</w:t>
            </w:r>
          </w:p>
        </w:tc>
        <w:tc>
          <w:tcPr>
            <w:tcW w:w="844" w:type="dxa"/>
            <w:tcBorders>
              <w:top w:val="nil"/>
              <w:left w:val="nil"/>
              <w:right w:val="nil"/>
            </w:tcBorders>
          </w:tcPr>
          <w:p w:rsidR="001503CF" w:rsidRPr="00524AE2" w:rsidRDefault="001503CF" w:rsidP="001503CF">
            <w:pPr>
              <w:spacing w:line="360" w:lineRule="auto"/>
              <w:rPr>
                <w:sz w:val="22"/>
                <w:szCs w:val="22"/>
              </w:rPr>
            </w:pPr>
            <w:r w:rsidRPr="00524AE2">
              <w:rPr>
                <w:sz w:val="22"/>
                <w:szCs w:val="22"/>
              </w:rPr>
              <w:t>0,308</w:t>
            </w:r>
          </w:p>
        </w:tc>
      </w:tr>
      <w:tr w:rsidR="001503CF" w:rsidRPr="00524AE2" w:rsidTr="001503CF">
        <w:trPr>
          <w:jc w:val="center"/>
        </w:trPr>
        <w:tc>
          <w:tcPr>
            <w:tcW w:w="1696" w:type="dxa"/>
            <w:tcBorders>
              <w:left w:val="nil"/>
              <w:bottom w:val="nil"/>
              <w:right w:val="nil"/>
            </w:tcBorders>
          </w:tcPr>
          <w:p w:rsidR="001503CF" w:rsidRPr="00524AE2" w:rsidRDefault="001503CF" w:rsidP="001503CF">
            <w:pPr>
              <w:spacing w:line="360" w:lineRule="auto"/>
              <w:rPr>
                <w:b/>
                <w:sz w:val="22"/>
                <w:szCs w:val="22"/>
              </w:rPr>
            </w:pPr>
            <w:r w:rsidRPr="00524AE2">
              <w:rPr>
                <w:b/>
                <w:sz w:val="22"/>
                <w:szCs w:val="22"/>
              </w:rPr>
              <w:t>Ítems</w:t>
            </w:r>
          </w:p>
        </w:tc>
        <w:tc>
          <w:tcPr>
            <w:tcW w:w="851" w:type="dxa"/>
            <w:tcBorders>
              <w:left w:val="nil"/>
              <w:bottom w:val="nil"/>
              <w:right w:val="nil"/>
            </w:tcBorders>
          </w:tcPr>
          <w:p w:rsidR="001503CF" w:rsidRPr="00524AE2" w:rsidRDefault="001503CF" w:rsidP="001503CF">
            <w:pPr>
              <w:spacing w:line="360" w:lineRule="auto"/>
              <w:rPr>
                <w:b/>
                <w:sz w:val="22"/>
                <w:szCs w:val="22"/>
              </w:rPr>
            </w:pPr>
            <w:r w:rsidRPr="00524AE2">
              <w:rPr>
                <w:b/>
                <w:sz w:val="22"/>
                <w:szCs w:val="22"/>
              </w:rPr>
              <w:t>9</w:t>
            </w:r>
          </w:p>
        </w:tc>
        <w:tc>
          <w:tcPr>
            <w:tcW w:w="850" w:type="dxa"/>
            <w:tcBorders>
              <w:left w:val="nil"/>
              <w:bottom w:val="nil"/>
              <w:right w:val="nil"/>
            </w:tcBorders>
          </w:tcPr>
          <w:p w:rsidR="001503CF" w:rsidRPr="00524AE2" w:rsidRDefault="001503CF" w:rsidP="001503CF">
            <w:pPr>
              <w:spacing w:line="360" w:lineRule="auto"/>
              <w:rPr>
                <w:b/>
                <w:sz w:val="22"/>
                <w:szCs w:val="22"/>
              </w:rPr>
            </w:pPr>
            <w:r w:rsidRPr="00524AE2">
              <w:rPr>
                <w:b/>
                <w:sz w:val="22"/>
                <w:szCs w:val="22"/>
              </w:rPr>
              <w:t>10</w:t>
            </w:r>
          </w:p>
        </w:tc>
        <w:tc>
          <w:tcPr>
            <w:tcW w:w="851" w:type="dxa"/>
            <w:tcBorders>
              <w:left w:val="nil"/>
              <w:bottom w:val="nil"/>
              <w:right w:val="nil"/>
            </w:tcBorders>
          </w:tcPr>
          <w:p w:rsidR="001503CF" w:rsidRPr="00524AE2" w:rsidRDefault="001503CF" w:rsidP="001503CF">
            <w:pPr>
              <w:spacing w:line="360" w:lineRule="auto"/>
              <w:rPr>
                <w:b/>
                <w:sz w:val="22"/>
                <w:szCs w:val="22"/>
              </w:rPr>
            </w:pPr>
            <w:r w:rsidRPr="00524AE2">
              <w:rPr>
                <w:b/>
                <w:sz w:val="22"/>
                <w:szCs w:val="22"/>
              </w:rPr>
              <w:t>11</w:t>
            </w:r>
          </w:p>
        </w:tc>
        <w:tc>
          <w:tcPr>
            <w:tcW w:w="850" w:type="dxa"/>
            <w:tcBorders>
              <w:left w:val="nil"/>
              <w:bottom w:val="nil"/>
              <w:right w:val="nil"/>
            </w:tcBorders>
          </w:tcPr>
          <w:p w:rsidR="001503CF" w:rsidRPr="00524AE2" w:rsidRDefault="001503CF" w:rsidP="001503CF">
            <w:pPr>
              <w:spacing w:line="360" w:lineRule="auto"/>
              <w:rPr>
                <w:b/>
                <w:sz w:val="22"/>
                <w:szCs w:val="22"/>
              </w:rPr>
            </w:pPr>
            <w:r w:rsidRPr="00524AE2">
              <w:rPr>
                <w:b/>
                <w:sz w:val="22"/>
                <w:szCs w:val="22"/>
              </w:rPr>
              <w:t>12</w:t>
            </w:r>
          </w:p>
        </w:tc>
        <w:tc>
          <w:tcPr>
            <w:tcW w:w="851" w:type="dxa"/>
            <w:tcBorders>
              <w:left w:val="nil"/>
              <w:bottom w:val="nil"/>
              <w:right w:val="nil"/>
            </w:tcBorders>
          </w:tcPr>
          <w:p w:rsidR="001503CF" w:rsidRPr="00524AE2" w:rsidRDefault="001503CF" w:rsidP="001503CF">
            <w:pPr>
              <w:spacing w:line="360" w:lineRule="auto"/>
              <w:rPr>
                <w:b/>
                <w:sz w:val="22"/>
                <w:szCs w:val="22"/>
              </w:rPr>
            </w:pPr>
            <w:r w:rsidRPr="00524AE2">
              <w:rPr>
                <w:b/>
                <w:sz w:val="22"/>
                <w:szCs w:val="22"/>
              </w:rPr>
              <w:t>13</w:t>
            </w:r>
          </w:p>
        </w:tc>
        <w:tc>
          <w:tcPr>
            <w:tcW w:w="850" w:type="dxa"/>
            <w:tcBorders>
              <w:left w:val="nil"/>
              <w:bottom w:val="nil"/>
              <w:right w:val="nil"/>
            </w:tcBorders>
          </w:tcPr>
          <w:p w:rsidR="001503CF" w:rsidRPr="00524AE2" w:rsidRDefault="001503CF" w:rsidP="001503CF">
            <w:pPr>
              <w:spacing w:line="360" w:lineRule="auto"/>
              <w:rPr>
                <w:b/>
                <w:sz w:val="22"/>
                <w:szCs w:val="22"/>
              </w:rPr>
            </w:pPr>
            <w:r w:rsidRPr="00524AE2">
              <w:rPr>
                <w:b/>
                <w:sz w:val="22"/>
                <w:szCs w:val="22"/>
              </w:rPr>
              <w:t>14</w:t>
            </w:r>
          </w:p>
        </w:tc>
        <w:tc>
          <w:tcPr>
            <w:tcW w:w="851" w:type="dxa"/>
            <w:tcBorders>
              <w:left w:val="nil"/>
              <w:bottom w:val="nil"/>
              <w:right w:val="nil"/>
            </w:tcBorders>
          </w:tcPr>
          <w:p w:rsidR="001503CF" w:rsidRPr="00524AE2" w:rsidRDefault="001503CF" w:rsidP="001503CF">
            <w:pPr>
              <w:spacing w:line="360" w:lineRule="auto"/>
              <w:rPr>
                <w:b/>
                <w:sz w:val="22"/>
                <w:szCs w:val="22"/>
              </w:rPr>
            </w:pPr>
            <w:r w:rsidRPr="00524AE2">
              <w:rPr>
                <w:b/>
                <w:sz w:val="22"/>
                <w:szCs w:val="22"/>
              </w:rPr>
              <w:t>15</w:t>
            </w:r>
          </w:p>
        </w:tc>
        <w:tc>
          <w:tcPr>
            <w:tcW w:w="844" w:type="dxa"/>
            <w:tcBorders>
              <w:left w:val="nil"/>
              <w:bottom w:val="nil"/>
              <w:right w:val="nil"/>
            </w:tcBorders>
          </w:tcPr>
          <w:p w:rsidR="001503CF" w:rsidRPr="00524AE2" w:rsidRDefault="001503CF" w:rsidP="001503CF">
            <w:pPr>
              <w:spacing w:line="360" w:lineRule="auto"/>
              <w:rPr>
                <w:b/>
                <w:sz w:val="22"/>
                <w:szCs w:val="22"/>
              </w:rPr>
            </w:pPr>
            <w:r w:rsidRPr="00524AE2">
              <w:rPr>
                <w:b/>
                <w:sz w:val="22"/>
                <w:szCs w:val="22"/>
              </w:rPr>
              <w:t>16</w:t>
            </w:r>
          </w:p>
        </w:tc>
      </w:tr>
      <w:tr w:rsidR="001503CF" w:rsidRPr="00524AE2" w:rsidTr="001503CF">
        <w:trPr>
          <w:jc w:val="center"/>
        </w:trPr>
        <w:tc>
          <w:tcPr>
            <w:tcW w:w="1696" w:type="dxa"/>
            <w:tcBorders>
              <w:top w:val="nil"/>
              <w:left w:val="nil"/>
              <w:right w:val="nil"/>
            </w:tcBorders>
          </w:tcPr>
          <w:p w:rsidR="001503CF" w:rsidRPr="00524AE2" w:rsidRDefault="001503CF" w:rsidP="001503CF">
            <w:pPr>
              <w:spacing w:line="360" w:lineRule="auto"/>
              <w:rPr>
                <w:sz w:val="22"/>
                <w:szCs w:val="22"/>
              </w:rPr>
            </w:pPr>
            <w:r w:rsidRPr="00524AE2">
              <w:rPr>
                <w:sz w:val="22"/>
                <w:szCs w:val="22"/>
              </w:rPr>
              <w:t>Homogeneidad</w:t>
            </w:r>
          </w:p>
        </w:tc>
        <w:tc>
          <w:tcPr>
            <w:tcW w:w="851" w:type="dxa"/>
            <w:tcBorders>
              <w:top w:val="nil"/>
              <w:left w:val="nil"/>
              <w:right w:val="nil"/>
            </w:tcBorders>
          </w:tcPr>
          <w:p w:rsidR="001503CF" w:rsidRPr="00524AE2" w:rsidRDefault="001503CF" w:rsidP="001503CF">
            <w:pPr>
              <w:spacing w:line="360" w:lineRule="auto"/>
              <w:rPr>
                <w:sz w:val="22"/>
                <w:szCs w:val="22"/>
              </w:rPr>
            </w:pPr>
            <w:r w:rsidRPr="00524AE2">
              <w:rPr>
                <w:sz w:val="22"/>
                <w:szCs w:val="22"/>
              </w:rPr>
              <w:t>0,472</w:t>
            </w:r>
          </w:p>
        </w:tc>
        <w:tc>
          <w:tcPr>
            <w:tcW w:w="850" w:type="dxa"/>
            <w:tcBorders>
              <w:top w:val="nil"/>
              <w:left w:val="nil"/>
              <w:right w:val="nil"/>
            </w:tcBorders>
          </w:tcPr>
          <w:p w:rsidR="001503CF" w:rsidRPr="00524AE2" w:rsidRDefault="001503CF" w:rsidP="001503CF">
            <w:pPr>
              <w:rPr>
                <w:sz w:val="22"/>
                <w:szCs w:val="22"/>
              </w:rPr>
            </w:pPr>
            <w:r w:rsidRPr="00524AE2">
              <w:rPr>
                <w:sz w:val="22"/>
                <w:szCs w:val="22"/>
              </w:rPr>
              <w:t>0,514</w:t>
            </w:r>
          </w:p>
        </w:tc>
        <w:tc>
          <w:tcPr>
            <w:tcW w:w="851" w:type="dxa"/>
            <w:tcBorders>
              <w:top w:val="nil"/>
              <w:left w:val="nil"/>
              <w:right w:val="nil"/>
            </w:tcBorders>
          </w:tcPr>
          <w:p w:rsidR="001503CF" w:rsidRPr="00524AE2" w:rsidRDefault="001503CF" w:rsidP="001503CF">
            <w:pPr>
              <w:spacing w:line="360" w:lineRule="auto"/>
              <w:rPr>
                <w:sz w:val="22"/>
                <w:szCs w:val="22"/>
              </w:rPr>
            </w:pPr>
            <w:r w:rsidRPr="00524AE2">
              <w:rPr>
                <w:sz w:val="22"/>
                <w:szCs w:val="22"/>
              </w:rPr>
              <w:t>0,399</w:t>
            </w:r>
          </w:p>
        </w:tc>
        <w:tc>
          <w:tcPr>
            <w:tcW w:w="850" w:type="dxa"/>
            <w:tcBorders>
              <w:top w:val="nil"/>
              <w:left w:val="nil"/>
              <w:right w:val="nil"/>
            </w:tcBorders>
          </w:tcPr>
          <w:p w:rsidR="001503CF" w:rsidRPr="00524AE2" w:rsidRDefault="001503CF" w:rsidP="001503CF">
            <w:pPr>
              <w:spacing w:line="360" w:lineRule="auto"/>
              <w:rPr>
                <w:sz w:val="22"/>
                <w:szCs w:val="22"/>
              </w:rPr>
            </w:pPr>
            <w:r w:rsidRPr="00524AE2">
              <w:rPr>
                <w:sz w:val="22"/>
                <w:szCs w:val="22"/>
              </w:rPr>
              <w:t>0,411</w:t>
            </w:r>
          </w:p>
        </w:tc>
        <w:tc>
          <w:tcPr>
            <w:tcW w:w="851" w:type="dxa"/>
            <w:tcBorders>
              <w:top w:val="nil"/>
              <w:left w:val="nil"/>
              <w:right w:val="nil"/>
            </w:tcBorders>
          </w:tcPr>
          <w:p w:rsidR="001503CF" w:rsidRPr="00524AE2" w:rsidRDefault="001503CF" w:rsidP="001503CF">
            <w:pPr>
              <w:spacing w:line="360" w:lineRule="auto"/>
              <w:rPr>
                <w:sz w:val="22"/>
                <w:szCs w:val="22"/>
              </w:rPr>
            </w:pPr>
            <w:r w:rsidRPr="00524AE2">
              <w:rPr>
                <w:sz w:val="22"/>
                <w:szCs w:val="22"/>
              </w:rPr>
              <w:t>0,396</w:t>
            </w:r>
          </w:p>
        </w:tc>
        <w:tc>
          <w:tcPr>
            <w:tcW w:w="850" w:type="dxa"/>
            <w:tcBorders>
              <w:top w:val="nil"/>
              <w:left w:val="nil"/>
              <w:right w:val="nil"/>
            </w:tcBorders>
          </w:tcPr>
          <w:p w:rsidR="001503CF" w:rsidRPr="00524AE2" w:rsidRDefault="001503CF" w:rsidP="001503CF">
            <w:pPr>
              <w:spacing w:line="360" w:lineRule="auto"/>
              <w:rPr>
                <w:sz w:val="22"/>
                <w:szCs w:val="22"/>
              </w:rPr>
            </w:pPr>
            <w:r w:rsidRPr="00524AE2">
              <w:rPr>
                <w:sz w:val="22"/>
                <w:szCs w:val="22"/>
              </w:rPr>
              <w:t>0,411</w:t>
            </w:r>
          </w:p>
        </w:tc>
        <w:tc>
          <w:tcPr>
            <w:tcW w:w="851" w:type="dxa"/>
            <w:tcBorders>
              <w:top w:val="nil"/>
              <w:left w:val="nil"/>
              <w:right w:val="nil"/>
            </w:tcBorders>
          </w:tcPr>
          <w:p w:rsidR="001503CF" w:rsidRPr="00524AE2" w:rsidRDefault="001503CF" w:rsidP="001503CF">
            <w:pPr>
              <w:spacing w:line="360" w:lineRule="auto"/>
              <w:rPr>
                <w:sz w:val="22"/>
                <w:szCs w:val="22"/>
              </w:rPr>
            </w:pPr>
            <w:r w:rsidRPr="00524AE2">
              <w:rPr>
                <w:sz w:val="22"/>
                <w:szCs w:val="22"/>
              </w:rPr>
              <w:t>0,469</w:t>
            </w:r>
          </w:p>
        </w:tc>
        <w:tc>
          <w:tcPr>
            <w:tcW w:w="844" w:type="dxa"/>
            <w:tcBorders>
              <w:top w:val="nil"/>
              <w:left w:val="nil"/>
              <w:right w:val="nil"/>
            </w:tcBorders>
          </w:tcPr>
          <w:p w:rsidR="001503CF" w:rsidRPr="00524AE2" w:rsidRDefault="001503CF" w:rsidP="001503CF">
            <w:pPr>
              <w:spacing w:line="360" w:lineRule="auto"/>
              <w:rPr>
                <w:sz w:val="22"/>
                <w:szCs w:val="22"/>
              </w:rPr>
            </w:pPr>
            <w:r w:rsidRPr="00524AE2">
              <w:rPr>
                <w:sz w:val="22"/>
                <w:szCs w:val="22"/>
              </w:rPr>
              <w:t>0,419</w:t>
            </w:r>
          </w:p>
        </w:tc>
      </w:tr>
      <w:tr w:rsidR="001503CF" w:rsidRPr="00524AE2" w:rsidTr="001503CF">
        <w:trPr>
          <w:jc w:val="center"/>
        </w:trPr>
        <w:tc>
          <w:tcPr>
            <w:tcW w:w="1696" w:type="dxa"/>
            <w:tcBorders>
              <w:left w:val="nil"/>
              <w:bottom w:val="nil"/>
              <w:right w:val="nil"/>
            </w:tcBorders>
          </w:tcPr>
          <w:p w:rsidR="001503CF" w:rsidRPr="00524AE2" w:rsidRDefault="001503CF" w:rsidP="001503CF">
            <w:pPr>
              <w:spacing w:line="360" w:lineRule="auto"/>
              <w:rPr>
                <w:b/>
                <w:sz w:val="22"/>
                <w:szCs w:val="22"/>
              </w:rPr>
            </w:pPr>
            <w:r w:rsidRPr="00524AE2">
              <w:rPr>
                <w:b/>
                <w:sz w:val="22"/>
                <w:szCs w:val="22"/>
              </w:rPr>
              <w:t>Ítems</w:t>
            </w:r>
          </w:p>
        </w:tc>
        <w:tc>
          <w:tcPr>
            <w:tcW w:w="851" w:type="dxa"/>
            <w:tcBorders>
              <w:left w:val="nil"/>
              <w:bottom w:val="nil"/>
              <w:right w:val="nil"/>
            </w:tcBorders>
          </w:tcPr>
          <w:p w:rsidR="001503CF" w:rsidRPr="00524AE2" w:rsidRDefault="001503CF" w:rsidP="001503CF">
            <w:pPr>
              <w:spacing w:line="360" w:lineRule="auto"/>
              <w:rPr>
                <w:b/>
                <w:sz w:val="22"/>
                <w:szCs w:val="22"/>
              </w:rPr>
            </w:pPr>
            <w:r w:rsidRPr="00524AE2">
              <w:rPr>
                <w:b/>
                <w:sz w:val="22"/>
                <w:szCs w:val="22"/>
              </w:rPr>
              <w:t>17</w:t>
            </w:r>
          </w:p>
        </w:tc>
        <w:tc>
          <w:tcPr>
            <w:tcW w:w="850" w:type="dxa"/>
            <w:tcBorders>
              <w:left w:val="nil"/>
              <w:bottom w:val="nil"/>
              <w:right w:val="nil"/>
            </w:tcBorders>
          </w:tcPr>
          <w:p w:rsidR="001503CF" w:rsidRPr="00524AE2" w:rsidRDefault="001503CF" w:rsidP="001503CF">
            <w:pPr>
              <w:spacing w:line="360" w:lineRule="auto"/>
              <w:rPr>
                <w:b/>
                <w:sz w:val="22"/>
                <w:szCs w:val="22"/>
              </w:rPr>
            </w:pPr>
            <w:r w:rsidRPr="00524AE2">
              <w:rPr>
                <w:b/>
                <w:sz w:val="22"/>
                <w:szCs w:val="22"/>
              </w:rPr>
              <w:t>18</w:t>
            </w:r>
          </w:p>
        </w:tc>
        <w:tc>
          <w:tcPr>
            <w:tcW w:w="851" w:type="dxa"/>
            <w:tcBorders>
              <w:left w:val="nil"/>
              <w:bottom w:val="nil"/>
              <w:right w:val="nil"/>
            </w:tcBorders>
          </w:tcPr>
          <w:p w:rsidR="001503CF" w:rsidRPr="00524AE2" w:rsidRDefault="001503CF" w:rsidP="001503CF">
            <w:pPr>
              <w:spacing w:line="360" w:lineRule="auto"/>
              <w:rPr>
                <w:b/>
                <w:sz w:val="22"/>
                <w:szCs w:val="22"/>
              </w:rPr>
            </w:pPr>
            <w:r w:rsidRPr="00524AE2">
              <w:rPr>
                <w:b/>
                <w:sz w:val="22"/>
                <w:szCs w:val="22"/>
              </w:rPr>
              <w:t>19</w:t>
            </w:r>
          </w:p>
        </w:tc>
        <w:tc>
          <w:tcPr>
            <w:tcW w:w="850" w:type="dxa"/>
            <w:tcBorders>
              <w:left w:val="nil"/>
              <w:bottom w:val="nil"/>
              <w:right w:val="nil"/>
            </w:tcBorders>
          </w:tcPr>
          <w:p w:rsidR="001503CF" w:rsidRPr="00524AE2" w:rsidRDefault="001503CF" w:rsidP="001503CF">
            <w:pPr>
              <w:spacing w:line="360" w:lineRule="auto"/>
              <w:rPr>
                <w:b/>
                <w:sz w:val="22"/>
                <w:szCs w:val="22"/>
              </w:rPr>
            </w:pPr>
            <w:r w:rsidRPr="00524AE2">
              <w:rPr>
                <w:b/>
                <w:sz w:val="22"/>
                <w:szCs w:val="22"/>
              </w:rPr>
              <w:t>20</w:t>
            </w:r>
          </w:p>
        </w:tc>
        <w:tc>
          <w:tcPr>
            <w:tcW w:w="851" w:type="dxa"/>
            <w:tcBorders>
              <w:left w:val="nil"/>
              <w:bottom w:val="nil"/>
              <w:right w:val="nil"/>
            </w:tcBorders>
          </w:tcPr>
          <w:p w:rsidR="001503CF" w:rsidRPr="00524AE2" w:rsidRDefault="001503CF" w:rsidP="001503CF">
            <w:pPr>
              <w:spacing w:line="360" w:lineRule="auto"/>
              <w:rPr>
                <w:b/>
                <w:sz w:val="22"/>
                <w:szCs w:val="22"/>
              </w:rPr>
            </w:pPr>
            <w:r w:rsidRPr="00524AE2">
              <w:rPr>
                <w:b/>
                <w:sz w:val="22"/>
                <w:szCs w:val="22"/>
              </w:rPr>
              <w:t>21</w:t>
            </w:r>
          </w:p>
        </w:tc>
        <w:tc>
          <w:tcPr>
            <w:tcW w:w="850" w:type="dxa"/>
            <w:tcBorders>
              <w:left w:val="nil"/>
              <w:bottom w:val="nil"/>
              <w:right w:val="nil"/>
            </w:tcBorders>
          </w:tcPr>
          <w:p w:rsidR="001503CF" w:rsidRPr="00524AE2" w:rsidRDefault="001503CF" w:rsidP="001503CF">
            <w:pPr>
              <w:spacing w:line="360" w:lineRule="auto"/>
              <w:rPr>
                <w:b/>
                <w:sz w:val="22"/>
                <w:szCs w:val="22"/>
              </w:rPr>
            </w:pPr>
            <w:r w:rsidRPr="00524AE2">
              <w:rPr>
                <w:b/>
                <w:sz w:val="22"/>
                <w:szCs w:val="22"/>
              </w:rPr>
              <w:t>22</w:t>
            </w:r>
          </w:p>
        </w:tc>
        <w:tc>
          <w:tcPr>
            <w:tcW w:w="851" w:type="dxa"/>
            <w:tcBorders>
              <w:left w:val="nil"/>
              <w:bottom w:val="nil"/>
              <w:right w:val="nil"/>
            </w:tcBorders>
          </w:tcPr>
          <w:p w:rsidR="001503CF" w:rsidRPr="00524AE2" w:rsidRDefault="001503CF" w:rsidP="001503CF">
            <w:pPr>
              <w:spacing w:line="360" w:lineRule="auto"/>
              <w:rPr>
                <w:b/>
                <w:sz w:val="22"/>
                <w:szCs w:val="22"/>
              </w:rPr>
            </w:pPr>
            <w:r w:rsidRPr="00524AE2">
              <w:rPr>
                <w:b/>
                <w:sz w:val="22"/>
                <w:szCs w:val="22"/>
              </w:rPr>
              <w:t>23</w:t>
            </w:r>
          </w:p>
        </w:tc>
        <w:tc>
          <w:tcPr>
            <w:tcW w:w="844" w:type="dxa"/>
            <w:tcBorders>
              <w:left w:val="nil"/>
              <w:bottom w:val="nil"/>
              <w:right w:val="nil"/>
            </w:tcBorders>
          </w:tcPr>
          <w:p w:rsidR="001503CF" w:rsidRPr="00524AE2" w:rsidRDefault="001503CF" w:rsidP="001503CF">
            <w:pPr>
              <w:spacing w:line="360" w:lineRule="auto"/>
              <w:rPr>
                <w:b/>
                <w:sz w:val="22"/>
                <w:szCs w:val="22"/>
              </w:rPr>
            </w:pPr>
            <w:r w:rsidRPr="00524AE2">
              <w:rPr>
                <w:b/>
                <w:sz w:val="22"/>
                <w:szCs w:val="22"/>
              </w:rPr>
              <w:t>24</w:t>
            </w:r>
          </w:p>
        </w:tc>
      </w:tr>
      <w:tr w:rsidR="001503CF" w:rsidRPr="00524AE2" w:rsidTr="001503CF">
        <w:trPr>
          <w:jc w:val="center"/>
        </w:trPr>
        <w:tc>
          <w:tcPr>
            <w:tcW w:w="1696" w:type="dxa"/>
            <w:tcBorders>
              <w:top w:val="nil"/>
              <w:left w:val="nil"/>
              <w:right w:val="nil"/>
            </w:tcBorders>
          </w:tcPr>
          <w:p w:rsidR="001503CF" w:rsidRPr="00524AE2" w:rsidRDefault="001503CF" w:rsidP="001503CF">
            <w:pPr>
              <w:spacing w:line="360" w:lineRule="auto"/>
              <w:rPr>
                <w:sz w:val="22"/>
                <w:szCs w:val="22"/>
              </w:rPr>
            </w:pPr>
            <w:r w:rsidRPr="00524AE2">
              <w:rPr>
                <w:sz w:val="22"/>
                <w:szCs w:val="22"/>
              </w:rPr>
              <w:t>Homogeneidad</w:t>
            </w:r>
          </w:p>
        </w:tc>
        <w:tc>
          <w:tcPr>
            <w:tcW w:w="851" w:type="dxa"/>
            <w:tcBorders>
              <w:top w:val="nil"/>
              <w:left w:val="nil"/>
              <w:right w:val="nil"/>
            </w:tcBorders>
          </w:tcPr>
          <w:p w:rsidR="001503CF" w:rsidRPr="00524AE2" w:rsidRDefault="001503CF" w:rsidP="001503CF">
            <w:pPr>
              <w:spacing w:line="360" w:lineRule="auto"/>
              <w:rPr>
                <w:sz w:val="22"/>
                <w:szCs w:val="22"/>
              </w:rPr>
            </w:pPr>
            <w:r w:rsidRPr="00524AE2">
              <w:rPr>
                <w:sz w:val="22"/>
                <w:szCs w:val="22"/>
              </w:rPr>
              <w:t>0,470</w:t>
            </w:r>
          </w:p>
        </w:tc>
        <w:tc>
          <w:tcPr>
            <w:tcW w:w="850" w:type="dxa"/>
            <w:tcBorders>
              <w:top w:val="nil"/>
              <w:left w:val="nil"/>
              <w:right w:val="nil"/>
            </w:tcBorders>
          </w:tcPr>
          <w:p w:rsidR="001503CF" w:rsidRPr="00524AE2" w:rsidRDefault="001503CF" w:rsidP="001503CF">
            <w:pPr>
              <w:spacing w:line="360" w:lineRule="auto"/>
              <w:rPr>
                <w:sz w:val="22"/>
                <w:szCs w:val="22"/>
              </w:rPr>
            </w:pPr>
            <w:r w:rsidRPr="00524AE2">
              <w:rPr>
                <w:sz w:val="22"/>
                <w:szCs w:val="22"/>
              </w:rPr>
              <w:t>0,453</w:t>
            </w:r>
          </w:p>
        </w:tc>
        <w:tc>
          <w:tcPr>
            <w:tcW w:w="851" w:type="dxa"/>
            <w:tcBorders>
              <w:top w:val="nil"/>
              <w:left w:val="nil"/>
              <w:right w:val="nil"/>
            </w:tcBorders>
          </w:tcPr>
          <w:p w:rsidR="001503CF" w:rsidRPr="00524AE2" w:rsidRDefault="001503CF" w:rsidP="001503CF">
            <w:pPr>
              <w:spacing w:line="360" w:lineRule="auto"/>
              <w:rPr>
                <w:sz w:val="22"/>
                <w:szCs w:val="22"/>
              </w:rPr>
            </w:pPr>
            <w:r w:rsidRPr="00524AE2">
              <w:rPr>
                <w:sz w:val="22"/>
                <w:szCs w:val="22"/>
              </w:rPr>
              <w:t>0,347</w:t>
            </w:r>
          </w:p>
        </w:tc>
        <w:tc>
          <w:tcPr>
            <w:tcW w:w="850" w:type="dxa"/>
            <w:tcBorders>
              <w:top w:val="nil"/>
              <w:left w:val="nil"/>
              <w:right w:val="nil"/>
            </w:tcBorders>
          </w:tcPr>
          <w:p w:rsidR="001503CF" w:rsidRPr="00524AE2" w:rsidRDefault="001503CF" w:rsidP="001503CF">
            <w:pPr>
              <w:spacing w:line="360" w:lineRule="auto"/>
              <w:rPr>
                <w:sz w:val="22"/>
                <w:szCs w:val="22"/>
              </w:rPr>
            </w:pPr>
            <w:r w:rsidRPr="00524AE2">
              <w:rPr>
                <w:sz w:val="22"/>
                <w:szCs w:val="22"/>
              </w:rPr>
              <w:t>0,446</w:t>
            </w:r>
          </w:p>
        </w:tc>
        <w:tc>
          <w:tcPr>
            <w:tcW w:w="851" w:type="dxa"/>
            <w:tcBorders>
              <w:top w:val="nil"/>
              <w:left w:val="nil"/>
              <w:right w:val="nil"/>
            </w:tcBorders>
          </w:tcPr>
          <w:p w:rsidR="001503CF" w:rsidRPr="00524AE2" w:rsidRDefault="001503CF" w:rsidP="001503CF">
            <w:pPr>
              <w:spacing w:line="360" w:lineRule="auto"/>
              <w:rPr>
                <w:sz w:val="22"/>
                <w:szCs w:val="22"/>
              </w:rPr>
            </w:pPr>
            <w:r w:rsidRPr="00524AE2">
              <w:rPr>
                <w:sz w:val="22"/>
                <w:szCs w:val="22"/>
              </w:rPr>
              <w:t>0,453</w:t>
            </w:r>
          </w:p>
        </w:tc>
        <w:tc>
          <w:tcPr>
            <w:tcW w:w="850" w:type="dxa"/>
            <w:tcBorders>
              <w:top w:val="nil"/>
              <w:left w:val="nil"/>
              <w:right w:val="nil"/>
            </w:tcBorders>
          </w:tcPr>
          <w:p w:rsidR="001503CF" w:rsidRPr="00524AE2" w:rsidRDefault="001503CF" w:rsidP="001503CF">
            <w:pPr>
              <w:rPr>
                <w:sz w:val="22"/>
                <w:szCs w:val="22"/>
              </w:rPr>
            </w:pPr>
            <w:r w:rsidRPr="00524AE2">
              <w:rPr>
                <w:sz w:val="22"/>
                <w:szCs w:val="22"/>
              </w:rPr>
              <w:t>0,208</w:t>
            </w:r>
          </w:p>
        </w:tc>
        <w:tc>
          <w:tcPr>
            <w:tcW w:w="851" w:type="dxa"/>
            <w:tcBorders>
              <w:top w:val="nil"/>
              <w:left w:val="nil"/>
              <w:right w:val="nil"/>
            </w:tcBorders>
          </w:tcPr>
          <w:p w:rsidR="001503CF" w:rsidRPr="00524AE2" w:rsidRDefault="001503CF" w:rsidP="001503CF">
            <w:pPr>
              <w:spacing w:line="360" w:lineRule="auto"/>
              <w:rPr>
                <w:sz w:val="22"/>
                <w:szCs w:val="22"/>
              </w:rPr>
            </w:pPr>
            <w:r w:rsidRPr="00524AE2">
              <w:rPr>
                <w:sz w:val="22"/>
                <w:szCs w:val="22"/>
              </w:rPr>
              <w:t>0,298</w:t>
            </w:r>
          </w:p>
        </w:tc>
        <w:tc>
          <w:tcPr>
            <w:tcW w:w="844" w:type="dxa"/>
            <w:tcBorders>
              <w:top w:val="nil"/>
              <w:left w:val="nil"/>
              <w:right w:val="nil"/>
            </w:tcBorders>
          </w:tcPr>
          <w:p w:rsidR="001503CF" w:rsidRPr="00524AE2" w:rsidRDefault="001503CF" w:rsidP="001503CF">
            <w:pPr>
              <w:spacing w:line="360" w:lineRule="auto"/>
              <w:rPr>
                <w:sz w:val="22"/>
                <w:szCs w:val="22"/>
              </w:rPr>
            </w:pPr>
            <w:r w:rsidRPr="00524AE2">
              <w:rPr>
                <w:sz w:val="22"/>
                <w:szCs w:val="22"/>
              </w:rPr>
              <w:t>0,340</w:t>
            </w:r>
          </w:p>
        </w:tc>
      </w:tr>
    </w:tbl>
    <w:p w:rsidR="001503CF" w:rsidRPr="001503CF" w:rsidRDefault="001503CF" w:rsidP="001503CF">
      <w:pPr>
        <w:pStyle w:val="phmfigures"/>
        <w:spacing w:before="0"/>
        <w:ind w:firstLine="0"/>
        <w:rPr>
          <w:sz w:val="20"/>
          <w:szCs w:val="20"/>
          <w:lang w:eastAsia="es-ES"/>
        </w:rPr>
      </w:pPr>
      <w:r>
        <w:rPr>
          <w:sz w:val="20"/>
          <w:szCs w:val="20"/>
          <w:lang w:eastAsia="es-ES"/>
        </w:rPr>
        <w:t>Fuente: Elaboración propia</w:t>
      </w:r>
    </w:p>
    <w:p w:rsidR="00A66DCF" w:rsidRDefault="00A66DCF" w:rsidP="001503CF">
      <w:pPr>
        <w:pStyle w:val="TextoNormal"/>
        <w:ind w:firstLine="0"/>
      </w:pPr>
    </w:p>
    <w:p w:rsidR="001503CF" w:rsidRPr="001503CF" w:rsidRDefault="001503CF" w:rsidP="001503CF">
      <w:pPr>
        <w:pStyle w:val="TextoNormal"/>
        <w:ind w:firstLine="0"/>
        <w:rPr>
          <w:b/>
        </w:rPr>
      </w:pPr>
      <w:r w:rsidRPr="001503CF">
        <w:rPr>
          <w:b/>
        </w:rPr>
        <w:t>5.2 Contraste de hipótesis</w:t>
      </w:r>
    </w:p>
    <w:p w:rsidR="001503CF" w:rsidRDefault="001503CF" w:rsidP="001503CF">
      <w:pPr>
        <w:pStyle w:val="TextoNormal"/>
        <w:ind w:firstLine="0"/>
      </w:pPr>
    </w:p>
    <w:p w:rsidR="001503CF" w:rsidRDefault="00524AE2" w:rsidP="001503CF">
      <w:pPr>
        <w:ind w:firstLine="567"/>
        <w:rPr>
          <w:sz w:val="24"/>
        </w:rPr>
      </w:pPr>
      <w:r>
        <w:rPr>
          <w:sz w:val="24"/>
        </w:rPr>
        <w:t>Al realizar el ANAVA (tabla 5</w:t>
      </w:r>
      <w:r w:rsidR="001503CF">
        <w:rPr>
          <w:sz w:val="24"/>
        </w:rPr>
        <w:t>) se puede observar que no hay diferencia significativa entre los grupos experimental y control al comienzo de la investigación ya que el valor de F obtenido, 0</w:t>
      </w:r>
      <w:proofErr w:type="gramStart"/>
      <w:r w:rsidR="001503CF">
        <w:rPr>
          <w:sz w:val="24"/>
        </w:rPr>
        <w:t>,0085</w:t>
      </w:r>
      <w:proofErr w:type="gramEnd"/>
      <w:r w:rsidR="001503CF">
        <w:rPr>
          <w:sz w:val="24"/>
        </w:rPr>
        <w:t>, es menor que el valor crítico de 7,314 para distribuciones de una cola. En cambio, al finalizar el tratamiento las diferencias entre los dos grupos sí son estadísticamente significativas, ya que F arroja un valor de 19</w:t>
      </w:r>
      <w:proofErr w:type="gramStart"/>
      <w:r w:rsidR="001503CF">
        <w:rPr>
          <w:sz w:val="24"/>
        </w:rPr>
        <w:t>,1052</w:t>
      </w:r>
      <w:proofErr w:type="gramEnd"/>
      <w:r w:rsidR="001503CF">
        <w:rPr>
          <w:sz w:val="24"/>
        </w:rPr>
        <w:t>, mayor que el mencionado valor crítico.</w:t>
      </w:r>
    </w:p>
    <w:p w:rsidR="001503CF" w:rsidRDefault="001503CF" w:rsidP="001503CF">
      <w:pPr>
        <w:pStyle w:val="TextoNormal"/>
        <w:ind w:firstLine="0"/>
      </w:pPr>
    </w:p>
    <w:p w:rsidR="001503CF" w:rsidRDefault="001503CF" w:rsidP="001503CF">
      <w:pPr>
        <w:pStyle w:val="TextoNormal"/>
        <w:ind w:firstLine="0"/>
        <w:jc w:val="center"/>
        <w:rPr>
          <w:sz w:val="22"/>
        </w:rPr>
      </w:pPr>
      <w:r>
        <w:rPr>
          <w:b/>
          <w:smallCaps/>
          <w:sz w:val="22"/>
        </w:rPr>
        <w:t>Tabla</w:t>
      </w:r>
      <w:r w:rsidRPr="000156AB">
        <w:rPr>
          <w:b/>
          <w:smallCaps/>
          <w:sz w:val="22"/>
        </w:rPr>
        <w:t xml:space="preserve"> </w:t>
      </w:r>
      <w:r w:rsidR="00524AE2">
        <w:rPr>
          <w:b/>
          <w:smallCaps/>
          <w:sz w:val="22"/>
        </w:rPr>
        <w:t>5</w:t>
      </w:r>
      <w:r w:rsidRPr="000156AB">
        <w:rPr>
          <w:b/>
          <w:smallCaps/>
          <w:sz w:val="22"/>
        </w:rPr>
        <w:t>.</w:t>
      </w:r>
      <w:r>
        <w:rPr>
          <w:b/>
          <w:smallCaps/>
          <w:sz w:val="22"/>
        </w:rPr>
        <w:t xml:space="preserve"> </w:t>
      </w:r>
      <w:r>
        <w:rPr>
          <w:sz w:val="22"/>
        </w:rPr>
        <w:t>Resultados del ANAVA</w:t>
      </w:r>
    </w:p>
    <w:tbl>
      <w:tblPr>
        <w:tblW w:w="7841" w:type="dxa"/>
        <w:jc w:val="center"/>
        <w:tblCellMar>
          <w:left w:w="70" w:type="dxa"/>
          <w:right w:w="70" w:type="dxa"/>
        </w:tblCellMar>
        <w:tblLook w:val="00A0" w:firstRow="1" w:lastRow="0" w:firstColumn="1" w:lastColumn="0" w:noHBand="0" w:noVBand="0"/>
      </w:tblPr>
      <w:tblGrid>
        <w:gridCol w:w="2415"/>
        <w:gridCol w:w="626"/>
        <w:gridCol w:w="1200"/>
        <w:gridCol w:w="1200"/>
        <w:gridCol w:w="1200"/>
        <w:gridCol w:w="1200"/>
      </w:tblGrid>
      <w:tr w:rsidR="001503CF" w:rsidRPr="00524AE2" w:rsidTr="001503CF">
        <w:trPr>
          <w:trHeight w:val="300"/>
          <w:jc w:val="center"/>
        </w:trPr>
        <w:tc>
          <w:tcPr>
            <w:tcW w:w="2415" w:type="dxa"/>
            <w:tcBorders>
              <w:top w:val="single" w:sz="4" w:space="0" w:color="auto"/>
            </w:tcBorders>
            <w:noWrap/>
            <w:vAlign w:val="bottom"/>
          </w:tcPr>
          <w:p w:rsidR="001503CF" w:rsidRPr="00524AE2" w:rsidRDefault="001503CF" w:rsidP="001503CF">
            <w:pPr>
              <w:rPr>
                <w:rFonts w:cs="Calibri"/>
                <w:b/>
                <w:bCs/>
                <w:color w:val="000000"/>
                <w:sz w:val="22"/>
                <w:szCs w:val="22"/>
                <w:lang w:eastAsia="es-ES"/>
              </w:rPr>
            </w:pPr>
            <w:r w:rsidRPr="00524AE2">
              <w:rPr>
                <w:rFonts w:cs="Calibri"/>
                <w:b/>
                <w:bCs/>
                <w:color w:val="000000"/>
                <w:sz w:val="22"/>
                <w:szCs w:val="22"/>
                <w:lang w:eastAsia="es-ES"/>
              </w:rPr>
              <w:t>PRETEST</w:t>
            </w:r>
          </w:p>
        </w:tc>
        <w:tc>
          <w:tcPr>
            <w:tcW w:w="626" w:type="dxa"/>
            <w:tcBorders>
              <w:top w:val="single" w:sz="4" w:space="0" w:color="auto"/>
            </w:tcBorders>
            <w:noWrap/>
            <w:vAlign w:val="bottom"/>
          </w:tcPr>
          <w:p w:rsidR="001503CF" w:rsidRPr="00524AE2" w:rsidRDefault="001503CF" w:rsidP="001503CF">
            <w:pPr>
              <w:rPr>
                <w:rFonts w:cs="Calibri"/>
                <w:color w:val="000000"/>
                <w:sz w:val="22"/>
                <w:szCs w:val="22"/>
                <w:lang w:eastAsia="es-ES"/>
              </w:rPr>
            </w:pPr>
            <w:r w:rsidRPr="00524AE2">
              <w:rPr>
                <w:rFonts w:cs="Calibri"/>
                <w:color w:val="000000"/>
                <w:sz w:val="22"/>
                <w:szCs w:val="22"/>
                <w:lang w:eastAsia="es-ES"/>
              </w:rPr>
              <w:t> </w:t>
            </w:r>
          </w:p>
        </w:tc>
        <w:tc>
          <w:tcPr>
            <w:tcW w:w="1200" w:type="dxa"/>
            <w:tcBorders>
              <w:top w:val="single" w:sz="4" w:space="0" w:color="auto"/>
            </w:tcBorders>
            <w:noWrap/>
            <w:vAlign w:val="bottom"/>
          </w:tcPr>
          <w:p w:rsidR="001503CF" w:rsidRPr="00524AE2" w:rsidRDefault="001503CF" w:rsidP="001503CF">
            <w:pPr>
              <w:rPr>
                <w:rFonts w:cs="Calibri"/>
                <w:color w:val="000000"/>
                <w:sz w:val="22"/>
                <w:szCs w:val="22"/>
                <w:lang w:eastAsia="es-ES"/>
              </w:rPr>
            </w:pPr>
            <w:r w:rsidRPr="00524AE2">
              <w:rPr>
                <w:rFonts w:cs="Calibri"/>
                <w:color w:val="000000"/>
                <w:sz w:val="22"/>
                <w:szCs w:val="22"/>
                <w:lang w:eastAsia="es-ES"/>
              </w:rPr>
              <w:t> </w:t>
            </w:r>
          </w:p>
        </w:tc>
        <w:tc>
          <w:tcPr>
            <w:tcW w:w="1200" w:type="dxa"/>
            <w:tcBorders>
              <w:top w:val="single" w:sz="4" w:space="0" w:color="auto"/>
            </w:tcBorders>
            <w:noWrap/>
            <w:vAlign w:val="bottom"/>
          </w:tcPr>
          <w:p w:rsidR="001503CF" w:rsidRPr="00524AE2" w:rsidRDefault="001503CF" w:rsidP="001503CF">
            <w:pPr>
              <w:rPr>
                <w:rFonts w:cs="Calibri"/>
                <w:color w:val="000000"/>
                <w:sz w:val="22"/>
                <w:szCs w:val="22"/>
                <w:lang w:eastAsia="es-ES"/>
              </w:rPr>
            </w:pPr>
            <w:r w:rsidRPr="00524AE2">
              <w:rPr>
                <w:rFonts w:cs="Calibri"/>
                <w:color w:val="000000"/>
                <w:sz w:val="22"/>
                <w:szCs w:val="22"/>
                <w:lang w:eastAsia="es-ES"/>
              </w:rPr>
              <w:t> </w:t>
            </w:r>
          </w:p>
        </w:tc>
        <w:tc>
          <w:tcPr>
            <w:tcW w:w="1200" w:type="dxa"/>
            <w:tcBorders>
              <w:top w:val="single" w:sz="4" w:space="0" w:color="auto"/>
            </w:tcBorders>
            <w:noWrap/>
            <w:vAlign w:val="bottom"/>
          </w:tcPr>
          <w:p w:rsidR="001503CF" w:rsidRPr="00524AE2" w:rsidRDefault="001503CF" w:rsidP="001503CF">
            <w:pPr>
              <w:rPr>
                <w:rFonts w:cs="Calibri"/>
                <w:color w:val="000000"/>
                <w:sz w:val="22"/>
                <w:szCs w:val="22"/>
                <w:lang w:eastAsia="es-ES"/>
              </w:rPr>
            </w:pPr>
            <w:r w:rsidRPr="00524AE2">
              <w:rPr>
                <w:rFonts w:cs="Calibri"/>
                <w:color w:val="000000"/>
                <w:sz w:val="22"/>
                <w:szCs w:val="22"/>
                <w:lang w:eastAsia="es-ES"/>
              </w:rPr>
              <w:t> </w:t>
            </w:r>
          </w:p>
        </w:tc>
        <w:tc>
          <w:tcPr>
            <w:tcW w:w="1200" w:type="dxa"/>
            <w:tcBorders>
              <w:top w:val="single" w:sz="4" w:space="0" w:color="auto"/>
            </w:tcBorders>
            <w:noWrap/>
            <w:vAlign w:val="bottom"/>
          </w:tcPr>
          <w:p w:rsidR="001503CF" w:rsidRPr="00524AE2" w:rsidRDefault="001503CF" w:rsidP="001503CF">
            <w:pPr>
              <w:rPr>
                <w:rFonts w:cs="Calibri"/>
                <w:color w:val="000000"/>
                <w:sz w:val="22"/>
                <w:szCs w:val="22"/>
                <w:lang w:eastAsia="es-ES"/>
              </w:rPr>
            </w:pPr>
            <w:r w:rsidRPr="00524AE2">
              <w:rPr>
                <w:rFonts w:cs="Calibri"/>
                <w:color w:val="000000"/>
                <w:sz w:val="22"/>
                <w:szCs w:val="22"/>
                <w:lang w:eastAsia="es-ES"/>
              </w:rPr>
              <w:t> </w:t>
            </w:r>
          </w:p>
        </w:tc>
      </w:tr>
      <w:tr w:rsidR="001503CF" w:rsidRPr="00524AE2" w:rsidTr="001503CF">
        <w:trPr>
          <w:trHeight w:val="300"/>
          <w:jc w:val="center"/>
        </w:trPr>
        <w:tc>
          <w:tcPr>
            <w:tcW w:w="2415" w:type="dxa"/>
            <w:tcBorders>
              <w:bottom w:val="single" w:sz="4" w:space="0" w:color="auto"/>
            </w:tcBorders>
            <w:noWrap/>
            <w:vAlign w:val="bottom"/>
          </w:tcPr>
          <w:p w:rsidR="001503CF" w:rsidRPr="00524AE2" w:rsidRDefault="001503CF" w:rsidP="001503CF">
            <w:pPr>
              <w:rPr>
                <w:rFonts w:cs="Calibri"/>
                <w:b/>
                <w:bCs/>
                <w:color w:val="000000"/>
                <w:sz w:val="22"/>
                <w:szCs w:val="22"/>
                <w:lang w:eastAsia="es-ES"/>
              </w:rPr>
            </w:pPr>
            <w:r w:rsidRPr="00524AE2">
              <w:rPr>
                <w:rFonts w:cs="Calibri"/>
                <w:b/>
                <w:bCs/>
                <w:color w:val="000000"/>
                <w:sz w:val="22"/>
                <w:szCs w:val="22"/>
                <w:lang w:eastAsia="es-ES"/>
              </w:rPr>
              <w:t>FUENTE VARIACIÓN</w:t>
            </w:r>
          </w:p>
        </w:tc>
        <w:tc>
          <w:tcPr>
            <w:tcW w:w="626" w:type="dxa"/>
            <w:tcBorders>
              <w:bottom w:val="single" w:sz="4" w:space="0" w:color="auto"/>
            </w:tcBorders>
            <w:noWrap/>
            <w:vAlign w:val="bottom"/>
          </w:tcPr>
          <w:p w:rsidR="001503CF" w:rsidRPr="00524AE2" w:rsidRDefault="001503CF" w:rsidP="001503CF">
            <w:pPr>
              <w:rPr>
                <w:rFonts w:cs="Calibri"/>
                <w:b/>
                <w:bCs/>
                <w:color w:val="000000"/>
                <w:sz w:val="22"/>
                <w:szCs w:val="22"/>
                <w:lang w:eastAsia="es-ES"/>
              </w:rPr>
            </w:pPr>
            <w:r w:rsidRPr="00524AE2">
              <w:rPr>
                <w:rFonts w:cs="Calibri"/>
                <w:b/>
                <w:bCs/>
                <w:color w:val="000000"/>
                <w:sz w:val="22"/>
                <w:szCs w:val="22"/>
                <w:lang w:eastAsia="es-ES"/>
              </w:rPr>
              <w:t> </w:t>
            </w:r>
          </w:p>
        </w:tc>
        <w:tc>
          <w:tcPr>
            <w:tcW w:w="1200" w:type="dxa"/>
            <w:tcBorders>
              <w:bottom w:val="single" w:sz="4" w:space="0" w:color="auto"/>
            </w:tcBorders>
            <w:noWrap/>
            <w:vAlign w:val="bottom"/>
          </w:tcPr>
          <w:p w:rsidR="001503CF" w:rsidRPr="00524AE2" w:rsidRDefault="001503CF" w:rsidP="001503CF">
            <w:pPr>
              <w:rPr>
                <w:rFonts w:cs="Calibri"/>
                <w:b/>
                <w:bCs/>
                <w:color w:val="000000"/>
                <w:sz w:val="22"/>
                <w:szCs w:val="22"/>
                <w:lang w:eastAsia="es-ES"/>
              </w:rPr>
            </w:pPr>
            <w:r w:rsidRPr="00524AE2">
              <w:rPr>
                <w:rFonts w:cs="Calibri"/>
                <w:b/>
                <w:bCs/>
                <w:color w:val="000000"/>
                <w:sz w:val="22"/>
                <w:szCs w:val="22"/>
                <w:lang w:eastAsia="es-ES"/>
              </w:rPr>
              <w:t>SC</w:t>
            </w:r>
          </w:p>
        </w:tc>
        <w:tc>
          <w:tcPr>
            <w:tcW w:w="1200" w:type="dxa"/>
            <w:tcBorders>
              <w:bottom w:val="single" w:sz="4" w:space="0" w:color="auto"/>
            </w:tcBorders>
            <w:noWrap/>
            <w:vAlign w:val="bottom"/>
          </w:tcPr>
          <w:p w:rsidR="001503CF" w:rsidRPr="00524AE2" w:rsidRDefault="001503CF" w:rsidP="001503CF">
            <w:pPr>
              <w:rPr>
                <w:rFonts w:cs="Calibri"/>
                <w:b/>
                <w:bCs/>
                <w:color w:val="000000"/>
                <w:sz w:val="22"/>
                <w:szCs w:val="22"/>
                <w:lang w:eastAsia="es-ES"/>
              </w:rPr>
            </w:pPr>
            <w:r w:rsidRPr="00524AE2">
              <w:rPr>
                <w:rFonts w:cs="Calibri"/>
                <w:b/>
                <w:bCs/>
                <w:color w:val="000000"/>
                <w:sz w:val="22"/>
                <w:szCs w:val="22"/>
                <w:lang w:eastAsia="es-ES"/>
              </w:rPr>
              <w:t>GL</w:t>
            </w:r>
          </w:p>
        </w:tc>
        <w:tc>
          <w:tcPr>
            <w:tcW w:w="1200" w:type="dxa"/>
            <w:tcBorders>
              <w:bottom w:val="single" w:sz="4" w:space="0" w:color="auto"/>
            </w:tcBorders>
            <w:noWrap/>
            <w:vAlign w:val="bottom"/>
          </w:tcPr>
          <w:p w:rsidR="001503CF" w:rsidRPr="00524AE2" w:rsidRDefault="001503CF" w:rsidP="001503CF">
            <w:pPr>
              <w:rPr>
                <w:rFonts w:cs="Calibri"/>
                <w:b/>
                <w:bCs/>
                <w:color w:val="000000"/>
                <w:sz w:val="22"/>
                <w:szCs w:val="22"/>
                <w:lang w:eastAsia="es-ES"/>
              </w:rPr>
            </w:pPr>
            <w:r w:rsidRPr="00524AE2">
              <w:rPr>
                <w:rFonts w:cs="Calibri"/>
                <w:b/>
                <w:bCs/>
                <w:color w:val="000000"/>
                <w:sz w:val="22"/>
                <w:szCs w:val="22"/>
                <w:lang w:eastAsia="es-ES"/>
              </w:rPr>
              <w:t>MC</w:t>
            </w:r>
          </w:p>
        </w:tc>
        <w:tc>
          <w:tcPr>
            <w:tcW w:w="1200" w:type="dxa"/>
            <w:tcBorders>
              <w:bottom w:val="single" w:sz="4" w:space="0" w:color="auto"/>
            </w:tcBorders>
            <w:noWrap/>
            <w:vAlign w:val="bottom"/>
          </w:tcPr>
          <w:p w:rsidR="001503CF" w:rsidRPr="00524AE2" w:rsidRDefault="001503CF" w:rsidP="001503CF">
            <w:pPr>
              <w:rPr>
                <w:rFonts w:cs="Calibri"/>
                <w:b/>
                <w:bCs/>
                <w:color w:val="000000"/>
                <w:sz w:val="22"/>
                <w:szCs w:val="22"/>
                <w:lang w:eastAsia="es-ES"/>
              </w:rPr>
            </w:pPr>
            <w:r w:rsidRPr="00524AE2">
              <w:rPr>
                <w:rFonts w:cs="Calibri"/>
                <w:b/>
                <w:bCs/>
                <w:color w:val="000000"/>
                <w:sz w:val="22"/>
                <w:szCs w:val="22"/>
                <w:lang w:eastAsia="es-ES"/>
              </w:rPr>
              <w:t>F</w:t>
            </w:r>
          </w:p>
        </w:tc>
      </w:tr>
      <w:tr w:rsidR="001503CF" w:rsidRPr="00524AE2" w:rsidTr="001503CF">
        <w:trPr>
          <w:trHeight w:val="300"/>
          <w:jc w:val="center"/>
        </w:trPr>
        <w:tc>
          <w:tcPr>
            <w:tcW w:w="2415" w:type="dxa"/>
            <w:tcBorders>
              <w:top w:val="single" w:sz="4" w:space="0" w:color="auto"/>
            </w:tcBorders>
            <w:noWrap/>
            <w:vAlign w:val="bottom"/>
          </w:tcPr>
          <w:p w:rsidR="001503CF" w:rsidRPr="00524AE2" w:rsidRDefault="001503CF" w:rsidP="001503CF">
            <w:pPr>
              <w:rPr>
                <w:rFonts w:cs="Calibri"/>
                <w:b/>
                <w:bCs/>
                <w:color w:val="000000"/>
                <w:sz w:val="22"/>
                <w:szCs w:val="22"/>
                <w:lang w:eastAsia="es-ES"/>
              </w:rPr>
            </w:pPr>
            <w:r w:rsidRPr="00524AE2">
              <w:rPr>
                <w:rFonts w:cs="Calibri"/>
                <w:b/>
                <w:bCs/>
                <w:color w:val="000000"/>
                <w:sz w:val="22"/>
                <w:szCs w:val="22"/>
                <w:lang w:eastAsia="es-ES"/>
              </w:rPr>
              <w:t>ENTRE GRUPOS</w:t>
            </w:r>
          </w:p>
        </w:tc>
        <w:tc>
          <w:tcPr>
            <w:tcW w:w="626" w:type="dxa"/>
            <w:tcBorders>
              <w:top w:val="single" w:sz="4" w:space="0" w:color="auto"/>
            </w:tcBorders>
            <w:noWrap/>
            <w:vAlign w:val="bottom"/>
          </w:tcPr>
          <w:p w:rsidR="001503CF" w:rsidRPr="00524AE2" w:rsidRDefault="001503CF" w:rsidP="001503CF">
            <w:pPr>
              <w:rPr>
                <w:rFonts w:cs="Calibri"/>
                <w:b/>
                <w:bCs/>
                <w:color w:val="000000"/>
                <w:sz w:val="22"/>
                <w:szCs w:val="22"/>
                <w:lang w:eastAsia="es-ES"/>
              </w:rPr>
            </w:pPr>
            <w:r w:rsidRPr="00524AE2">
              <w:rPr>
                <w:rFonts w:cs="Calibri"/>
                <w:b/>
                <w:bCs/>
                <w:color w:val="000000"/>
                <w:sz w:val="22"/>
                <w:szCs w:val="22"/>
                <w:lang w:eastAsia="es-ES"/>
              </w:rPr>
              <w:t> </w:t>
            </w:r>
          </w:p>
        </w:tc>
        <w:tc>
          <w:tcPr>
            <w:tcW w:w="1200" w:type="dxa"/>
            <w:tcBorders>
              <w:top w:val="single" w:sz="4" w:space="0" w:color="auto"/>
            </w:tcBorders>
            <w:noWrap/>
            <w:vAlign w:val="bottom"/>
          </w:tcPr>
          <w:p w:rsidR="001503CF" w:rsidRPr="00524AE2" w:rsidRDefault="001503CF" w:rsidP="001503CF">
            <w:pPr>
              <w:rPr>
                <w:rFonts w:cs="Calibri"/>
                <w:color w:val="000000"/>
                <w:sz w:val="22"/>
                <w:szCs w:val="22"/>
                <w:lang w:eastAsia="es-ES"/>
              </w:rPr>
            </w:pPr>
            <w:r w:rsidRPr="00524AE2">
              <w:rPr>
                <w:rFonts w:cs="Calibri"/>
                <w:color w:val="000000"/>
                <w:sz w:val="22"/>
                <w:szCs w:val="22"/>
                <w:lang w:eastAsia="es-ES"/>
              </w:rPr>
              <w:t>0,1333333</w:t>
            </w:r>
          </w:p>
        </w:tc>
        <w:tc>
          <w:tcPr>
            <w:tcW w:w="1200" w:type="dxa"/>
            <w:tcBorders>
              <w:top w:val="single" w:sz="4" w:space="0" w:color="auto"/>
            </w:tcBorders>
            <w:noWrap/>
            <w:vAlign w:val="bottom"/>
          </w:tcPr>
          <w:p w:rsidR="001503CF" w:rsidRPr="00524AE2" w:rsidRDefault="001503CF" w:rsidP="001503CF">
            <w:pPr>
              <w:rPr>
                <w:rFonts w:cs="Calibri"/>
                <w:color w:val="000000"/>
                <w:sz w:val="22"/>
                <w:szCs w:val="22"/>
                <w:lang w:eastAsia="es-ES"/>
              </w:rPr>
            </w:pPr>
            <w:r w:rsidRPr="00524AE2">
              <w:rPr>
                <w:rFonts w:cs="Calibri"/>
                <w:color w:val="000000"/>
                <w:sz w:val="22"/>
                <w:szCs w:val="22"/>
                <w:lang w:eastAsia="es-ES"/>
              </w:rPr>
              <w:t>1</w:t>
            </w:r>
          </w:p>
        </w:tc>
        <w:tc>
          <w:tcPr>
            <w:tcW w:w="1200" w:type="dxa"/>
            <w:tcBorders>
              <w:top w:val="single" w:sz="4" w:space="0" w:color="auto"/>
            </w:tcBorders>
            <w:noWrap/>
            <w:vAlign w:val="bottom"/>
          </w:tcPr>
          <w:p w:rsidR="001503CF" w:rsidRPr="00524AE2" w:rsidRDefault="001503CF" w:rsidP="001503CF">
            <w:pPr>
              <w:rPr>
                <w:rFonts w:cs="Calibri"/>
                <w:color w:val="000000"/>
                <w:sz w:val="22"/>
                <w:szCs w:val="22"/>
                <w:lang w:eastAsia="es-ES"/>
              </w:rPr>
            </w:pPr>
            <w:r w:rsidRPr="00524AE2">
              <w:rPr>
                <w:rFonts w:cs="Calibri"/>
                <w:color w:val="000000"/>
                <w:sz w:val="22"/>
                <w:szCs w:val="22"/>
                <w:lang w:eastAsia="es-ES"/>
              </w:rPr>
              <w:t>0,1333333</w:t>
            </w:r>
          </w:p>
        </w:tc>
        <w:tc>
          <w:tcPr>
            <w:tcW w:w="1200" w:type="dxa"/>
            <w:tcBorders>
              <w:top w:val="single" w:sz="4" w:space="0" w:color="auto"/>
            </w:tcBorders>
            <w:noWrap/>
            <w:vAlign w:val="bottom"/>
          </w:tcPr>
          <w:p w:rsidR="001503CF" w:rsidRPr="00524AE2" w:rsidRDefault="001503CF" w:rsidP="001503CF">
            <w:pPr>
              <w:jc w:val="right"/>
              <w:rPr>
                <w:rFonts w:cs="Calibri"/>
                <w:color w:val="00B050"/>
                <w:sz w:val="22"/>
                <w:szCs w:val="22"/>
                <w:lang w:eastAsia="es-ES"/>
              </w:rPr>
            </w:pPr>
            <w:r w:rsidRPr="00524AE2">
              <w:rPr>
                <w:rFonts w:cs="Calibri"/>
                <w:color w:val="000000"/>
                <w:sz w:val="22"/>
                <w:szCs w:val="22"/>
                <w:lang w:eastAsia="es-ES"/>
              </w:rPr>
              <w:t>0,00849024</w:t>
            </w:r>
          </w:p>
        </w:tc>
      </w:tr>
      <w:tr w:rsidR="001503CF" w:rsidRPr="00524AE2" w:rsidTr="001503CF">
        <w:trPr>
          <w:trHeight w:val="300"/>
          <w:jc w:val="center"/>
        </w:trPr>
        <w:tc>
          <w:tcPr>
            <w:tcW w:w="2415" w:type="dxa"/>
            <w:noWrap/>
            <w:vAlign w:val="bottom"/>
          </w:tcPr>
          <w:p w:rsidR="001503CF" w:rsidRPr="00524AE2" w:rsidRDefault="001503CF" w:rsidP="001503CF">
            <w:pPr>
              <w:rPr>
                <w:rFonts w:cs="Calibri"/>
                <w:b/>
                <w:bCs/>
                <w:color w:val="000000"/>
                <w:sz w:val="22"/>
                <w:szCs w:val="22"/>
                <w:lang w:eastAsia="es-ES"/>
              </w:rPr>
            </w:pPr>
            <w:r w:rsidRPr="00524AE2">
              <w:rPr>
                <w:rFonts w:cs="Calibri"/>
                <w:b/>
                <w:bCs/>
                <w:color w:val="000000"/>
                <w:sz w:val="22"/>
                <w:szCs w:val="22"/>
                <w:lang w:eastAsia="es-ES"/>
              </w:rPr>
              <w:t>DENTRO GRUPOS</w:t>
            </w:r>
          </w:p>
        </w:tc>
        <w:tc>
          <w:tcPr>
            <w:tcW w:w="626" w:type="dxa"/>
            <w:noWrap/>
            <w:vAlign w:val="bottom"/>
          </w:tcPr>
          <w:p w:rsidR="001503CF" w:rsidRPr="00524AE2" w:rsidRDefault="001503CF" w:rsidP="001503CF">
            <w:pPr>
              <w:rPr>
                <w:rFonts w:cs="Calibri"/>
                <w:b/>
                <w:bCs/>
                <w:color w:val="000000"/>
                <w:sz w:val="22"/>
                <w:szCs w:val="22"/>
                <w:lang w:eastAsia="es-ES"/>
              </w:rPr>
            </w:pPr>
            <w:r w:rsidRPr="00524AE2">
              <w:rPr>
                <w:rFonts w:cs="Calibri"/>
                <w:b/>
                <w:bCs/>
                <w:color w:val="000000"/>
                <w:sz w:val="22"/>
                <w:szCs w:val="22"/>
                <w:lang w:eastAsia="es-ES"/>
              </w:rPr>
              <w:t> </w:t>
            </w:r>
          </w:p>
        </w:tc>
        <w:tc>
          <w:tcPr>
            <w:tcW w:w="1200" w:type="dxa"/>
            <w:noWrap/>
            <w:vAlign w:val="bottom"/>
          </w:tcPr>
          <w:p w:rsidR="001503CF" w:rsidRPr="00524AE2" w:rsidRDefault="001503CF" w:rsidP="001503CF">
            <w:pPr>
              <w:rPr>
                <w:rFonts w:cs="Calibri"/>
                <w:color w:val="000000"/>
                <w:sz w:val="22"/>
                <w:szCs w:val="22"/>
                <w:lang w:eastAsia="es-ES"/>
              </w:rPr>
            </w:pPr>
            <w:r w:rsidRPr="00524AE2">
              <w:rPr>
                <w:rFonts w:cs="Calibri"/>
                <w:color w:val="000000"/>
                <w:sz w:val="22"/>
                <w:szCs w:val="22"/>
                <w:lang w:eastAsia="es-ES"/>
              </w:rPr>
              <w:t>910,85</w:t>
            </w:r>
          </w:p>
        </w:tc>
        <w:tc>
          <w:tcPr>
            <w:tcW w:w="1200" w:type="dxa"/>
            <w:noWrap/>
            <w:vAlign w:val="bottom"/>
          </w:tcPr>
          <w:p w:rsidR="001503CF" w:rsidRPr="00524AE2" w:rsidRDefault="001503CF" w:rsidP="001503CF">
            <w:pPr>
              <w:rPr>
                <w:rFonts w:cs="Calibri"/>
                <w:color w:val="000000"/>
                <w:sz w:val="22"/>
                <w:szCs w:val="22"/>
                <w:lang w:eastAsia="es-ES"/>
              </w:rPr>
            </w:pPr>
            <w:r w:rsidRPr="00524AE2">
              <w:rPr>
                <w:rFonts w:cs="Calibri"/>
                <w:color w:val="000000"/>
                <w:sz w:val="22"/>
                <w:szCs w:val="22"/>
                <w:lang w:eastAsia="es-ES"/>
              </w:rPr>
              <w:t>58</w:t>
            </w:r>
          </w:p>
        </w:tc>
        <w:tc>
          <w:tcPr>
            <w:tcW w:w="1200" w:type="dxa"/>
            <w:noWrap/>
            <w:vAlign w:val="bottom"/>
          </w:tcPr>
          <w:p w:rsidR="001503CF" w:rsidRPr="00524AE2" w:rsidRDefault="001503CF" w:rsidP="001503CF">
            <w:pPr>
              <w:jc w:val="right"/>
              <w:rPr>
                <w:rFonts w:cs="Calibri"/>
                <w:color w:val="000000"/>
                <w:sz w:val="22"/>
                <w:szCs w:val="22"/>
                <w:lang w:eastAsia="es-ES"/>
              </w:rPr>
            </w:pPr>
            <w:r w:rsidRPr="00524AE2">
              <w:rPr>
                <w:rFonts w:cs="Calibri"/>
                <w:color w:val="000000"/>
                <w:sz w:val="22"/>
                <w:szCs w:val="22"/>
                <w:lang w:eastAsia="es-ES"/>
              </w:rPr>
              <w:t>15,7043103</w:t>
            </w:r>
          </w:p>
        </w:tc>
        <w:tc>
          <w:tcPr>
            <w:tcW w:w="1200" w:type="dxa"/>
            <w:noWrap/>
            <w:vAlign w:val="bottom"/>
          </w:tcPr>
          <w:p w:rsidR="001503CF" w:rsidRPr="00524AE2" w:rsidRDefault="001503CF" w:rsidP="001503CF">
            <w:pPr>
              <w:rPr>
                <w:rFonts w:cs="Calibri"/>
                <w:color w:val="000000"/>
                <w:sz w:val="22"/>
                <w:szCs w:val="22"/>
                <w:lang w:eastAsia="es-ES"/>
              </w:rPr>
            </w:pPr>
            <w:r w:rsidRPr="00524AE2">
              <w:rPr>
                <w:rFonts w:cs="Calibri"/>
                <w:color w:val="000000"/>
                <w:sz w:val="22"/>
                <w:szCs w:val="22"/>
                <w:lang w:eastAsia="es-ES"/>
              </w:rPr>
              <w:t> </w:t>
            </w:r>
          </w:p>
        </w:tc>
      </w:tr>
      <w:tr w:rsidR="001503CF" w:rsidRPr="00524AE2" w:rsidTr="001503CF">
        <w:trPr>
          <w:trHeight w:val="300"/>
          <w:jc w:val="center"/>
        </w:trPr>
        <w:tc>
          <w:tcPr>
            <w:tcW w:w="2415" w:type="dxa"/>
            <w:tcBorders>
              <w:bottom w:val="single" w:sz="4" w:space="0" w:color="auto"/>
            </w:tcBorders>
            <w:noWrap/>
            <w:vAlign w:val="bottom"/>
          </w:tcPr>
          <w:p w:rsidR="001503CF" w:rsidRPr="00524AE2" w:rsidRDefault="001503CF" w:rsidP="001503CF">
            <w:pPr>
              <w:rPr>
                <w:rFonts w:cs="Calibri"/>
                <w:b/>
                <w:bCs/>
                <w:color w:val="000000"/>
                <w:sz w:val="22"/>
                <w:szCs w:val="22"/>
                <w:lang w:eastAsia="es-ES"/>
              </w:rPr>
            </w:pPr>
            <w:r w:rsidRPr="00524AE2">
              <w:rPr>
                <w:rFonts w:cs="Calibri"/>
                <w:b/>
                <w:bCs/>
                <w:color w:val="000000"/>
                <w:sz w:val="22"/>
                <w:szCs w:val="22"/>
                <w:lang w:eastAsia="es-ES"/>
              </w:rPr>
              <w:t>TOTAL</w:t>
            </w:r>
          </w:p>
        </w:tc>
        <w:tc>
          <w:tcPr>
            <w:tcW w:w="626" w:type="dxa"/>
            <w:tcBorders>
              <w:bottom w:val="single" w:sz="4" w:space="0" w:color="auto"/>
            </w:tcBorders>
            <w:noWrap/>
            <w:vAlign w:val="bottom"/>
          </w:tcPr>
          <w:p w:rsidR="001503CF" w:rsidRPr="00524AE2" w:rsidRDefault="001503CF" w:rsidP="001503CF">
            <w:pPr>
              <w:rPr>
                <w:rFonts w:cs="Calibri"/>
                <w:b/>
                <w:bCs/>
                <w:color w:val="000000"/>
                <w:sz w:val="22"/>
                <w:szCs w:val="22"/>
                <w:lang w:eastAsia="es-ES"/>
              </w:rPr>
            </w:pPr>
            <w:r w:rsidRPr="00524AE2">
              <w:rPr>
                <w:rFonts w:cs="Calibri"/>
                <w:b/>
                <w:bCs/>
                <w:color w:val="000000"/>
                <w:sz w:val="22"/>
                <w:szCs w:val="22"/>
                <w:lang w:eastAsia="es-ES"/>
              </w:rPr>
              <w:t> </w:t>
            </w:r>
          </w:p>
        </w:tc>
        <w:tc>
          <w:tcPr>
            <w:tcW w:w="1200" w:type="dxa"/>
            <w:tcBorders>
              <w:bottom w:val="single" w:sz="4" w:space="0" w:color="auto"/>
            </w:tcBorders>
            <w:noWrap/>
            <w:vAlign w:val="bottom"/>
          </w:tcPr>
          <w:p w:rsidR="001503CF" w:rsidRPr="00524AE2" w:rsidRDefault="001503CF" w:rsidP="001503CF">
            <w:pPr>
              <w:jc w:val="right"/>
              <w:rPr>
                <w:rFonts w:cs="Calibri"/>
                <w:color w:val="000000"/>
                <w:sz w:val="22"/>
                <w:szCs w:val="22"/>
                <w:lang w:eastAsia="es-ES"/>
              </w:rPr>
            </w:pPr>
            <w:r w:rsidRPr="00524AE2">
              <w:rPr>
                <w:rFonts w:cs="Calibri"/>
                <w:color w:val="000000"/>
                <w:sz w:val="22"/>
                <w:szCs w:val="22"/>
                <w:lang w:eastAsia="es-ES"/>
              </w:rPr>
              <w:t>910,983333</w:t>
            </w:r>
          </w:p>
        </w:tc>
        <w:tc>
          <w:tcPr>
            <w:tcW w:w="1200" w:type="dxa"/>
            <w:tcBorders>
              <w:bottom w:val="single" w:sz="4" w:space="0" w:color="auto"/>
            </w:tcBorders>
            <w:noWrap/>
            <w:vAlign w:val="bottom"/>
          </w:tcPr>
          <w:p w:rsidR="001503CF" w:rsidRPr="00524AE2" w:rsidRDefault="001503CF" w:rsidP="001503CF">
            <w:pPr>
              <w:rPr>
                <w:rFonts w:cs="Calibri"/>
                <w:color w:val="000000"/>
                <w:sz w:val="22"/>
                <w:szCs w:val="22"/>
                <w:lang w:eastAsia="es-ES"/>
              </w:rPr>
            </w:pPr>
            <w:r w:rsidRPr="00524AE2">
              <w:rPr>
                <w:rFonts w:cs="Calibri"/>
                <w:color w:val="000000"/>
                <w:sz w:val="22"/>
                <w:szCs w:val="22"/>
                <w:lang w:eastAsia="es-ES"/>
              </w:rPr>
              <w:t>59</w:t>
            </w:r>
          </w:p>
        </w:tc>
        <w:tc>
          <w:tcPr>
            <w:tcW w:w="1200" w:type="dxa"/>
            <w:tcBorders>
              <w:bottom w:val="single" w:sz="4" w:space="0" w:color="auto"/>
            </w:tcBorders>
            <w:noWrap/>
            <w:vAlign w:val="bottom"/>
          </w:tcPr>
          <w:p w:rsidR="001503CF" w:rsidRPr="00524AE2" w:rsidRDefault="001503CF" w:rsidP="001503CF">
            <w:pPr>
              <w:jc w:val="right"/>
              <w:rPr>
                <w:rFonts w:cs="Calibri"/>
                <w:color w:val="000000"/>
                <w:sz w:val="22"/>
                <w:szCs w:val="22"/>
                <w:lang w:eastAsia="es-ES"/>
              </w:rPr>
            </w:pPr>
            <w:r w:rsidRPr="00524AE2">
              <w:rPr>
                <w:rFonts w:cs="Calibri"/>
                <w:color w:val="000000"/>
                <w:sz w:val="22"/>
                <w:szCs w:val="22"/>
                <w:lang w:eastAsia="es-ES"/>
              </w:rPr>
              <w:t>15,4403955</w:t>
            </w:r>
          </w:p>
        </w:tc>
        <w:tc>
          <w:tcPr>
            <w:tcW w:w="1200" w:type="dxa"/>
            <w:tcBorders>
              <w:bottom w:val="single" w:sz="4" w:space="0" w:color="auto"/>
            </w:tcBorders>
            <w:noWrap/>
            <w:vAlign w:val="bottom"/>
          </w:tcPr>
          <w:p w:rsidR="001503CF" w:rsidRPr="00524AE2" w:rsidRDefault="001503CF" w:rsidP="001503CF">
            <w:pPr>
              <w:rPr>
                <w:rFonts w:cs="Calibri"/>
                <w:color w:val="000000"/>
                <w:sz w:val="22"/>
                <w:szCs w:val="22"/>
                <w:lang w:eastAsia="es-ES"/>
              </w:rPr>
            </w:pPr>
            <w:r w:rsidRPr="00524AE2">
              <w:rPr>
                <w:rFonts w:cs="Calibri"/>
                <w:color w:val="000000"/>
                <w:sz w:val="22"/>
                <w:szCs w:val="22"/>
                <w:lang w:eastAsia="es-ES"/>
              </w:rPr>
              <w:t> </w:t>
            </w:r>
          </w:p>
        </w:tc>
      </w:tr>
      <w:tr w:rsidR="001503CF" w:rsidRPr="00524AE2" w:rsidTr="001503CF">
        <w:trPr>
          <w:trHeight w:val="300"/>
          <w:jc w:val="center"/>
        </w:trPr>
        <w:tc>
          <w:tcPr>
            <w:tcW w:w="2415" w:type="dxa"/>
            <w:tcBorders>
              <w:top w:val="single" w:sz="4" w:space="0" w:color="auto"/>
            </w:tcBorders>
            <w:noWrap/>
            <w:vAlign w:val="bottom"/>
          </w:tcPr>
          <w:p w:rsidR="001503CF" w:rsidRPr="00524AE2" w:rsidRDefault="001503CF" w:rsidP="001503CF">
            <w:pPr>
              <w:rPr>
                <w:rFonts w:cs="Calibri"/>
                <w:b/>
                <w:bCs/>
                <w:color w:val="000000"/>
                <w:sz w:val="22"/>
                <w:szCs w:val="22"/>
                <w:lang w:eastAsia="es-ES"/>
              </w:rPr>
            </w:pPr>
            <w:r w:rsidRPr="00524AE2">
              <w:rPr>
                <w:rFonts w:cs="Calibri"/>
                <w:b/>
                <w:bCs/>
                <w:color w:val="000000"/>
                <w:sz w:val="22"/>
                <w:szCs w:val="22"/>
                <w:lang w:eastAsia="es-ES"/>
              </w:rPr>
              <w:t>POSTEST</w:t>
            </w:r>
          </w:p>
        </w:tc>
        <w:tc>
          <w:tcPr>
            <w:tcW w:w="626" w:type="dxa"/>
            <w:tcBorders>
              <w:top w:val="single" w:sz="4" w:space="0" w:color="auto"/>
            </w:tcBorders>
            <w:noWrap/>
            <w:vAlign w:val="bottom"/>
          </w:tcPr>
          <w:p w:rsidR="001503CF" w:rsidRPr="00524AE2" w:rsidRDefault="001503CF" w:rsidP="001503CF">
            <w:pPr>
              <w:rPr>
                <w:rFonts w:cs="Calibri"/>
                <w:color w:val="000000"/>
                <w:sz w:val="22"/>
                <w:szCs w:val="22"/>
                <w:lang w:eastAsia="es-ES"/>
              </w:rPr>
            </w:pPr>
            <w:r w:rsidRPr="00524AE2">
              <w:rPr>
                <w:rFonts w:cs="Calibri"/>
                <w:color w:val="000000"/>
                <w:sz w:val="22"/>
                <w:szCs w:val="22"/>
                <w:lang w:eastAsia="es-ES"/>
              </w:rPr>
              <w:t> </w:t>
            </w:r>
          </w:p>
        </w:tc>
        <w:tc>
          <w:tcPr>
            <w:tcW w:w="1200" w:type="dxa"/>
            <w:tcBorders>
              <w:top w:val="single" w:sz="4" w:space="0" w:color="auto"/>
            </w:tcBorders>
            <w:noWrap/>
            <w:vAlign w:val="bottom"/>
          </w:tcPr>
          <w:p w:rsidR="001503CF" w:rsidRPr="00524AE2" w:rsidRDefault="001503CF" w:rsidP="001503CF">
            <w:pPr>
              <w:rPr>
                <w:rFonts w:cs="Calibri"/>
                <w:color w:val="000000"/>
                <w:sz w:val="22"/>
                <w:szCs w:val="22"/>
                <w:lang w:eastAsia="es-ES"/>
              </w:rPr>
            </w:pPr>
            <w:r w:rsidRPr="00524AE2">
              <w:rPr>
                <w:rFonts w:cs="Calibri"/>
                <w:color w:val="000000"/>
                <w:sz w:val="22"/>
                <w:szCs w:val="22"/>
                <w:lang w:eastAsia="es-ES"/>
              </w:rPr>
              <w:t> </w:t>
            </w:r>
          </w:p>
        </w:tc>
        <w:tc>
          <w:tcPr>
            <w:tcW w:w="1200" w:type="dxa"/>
            <w:tcBorders>
              <w:top w:val="single" w:sz="4" w:space="0" w:color="auto"/>
            </w:tcBorders>
            <w:noWrap/>
            <w:vAlign w:val="bottom"/>
          </w:tcPr>
          <w:p w:rsidR="001503CF" w:rsidRPr="00524AE2" w:rsidRDefault="001503CF" w:rsidP="001503CF">
            <w:pPr>
              <w:rPr>
                <w:rFonts w:cs="Calibri"/>
                <w:color w:val="000000"/>
                <w:sz w:val="22"/>
                <w:szCs w:val="22"/>
                <w:lang w:eastAsia="es-ES"/>
              </w:rPr>
            </w:pPr>
            <w:r w:rsidRPr="00524AE2">
              <w:rPr>
                <w:rFonts w:cs="Calibri"/>
                <w:color w:val="000000"/>
                <w:sz w:val="22"/>
                <w:szCs w:val="22"/>
                <w:lang w:eastAsia="es-ES"/>
              </w:rPr>
              <w:t> </w:t>
            </w:r>
          </w:p>
        </w:tc>
        <w:tc>
          <w:tcPr>
            <w:tcW w:w="1200" w:type="dxa"/>
            <w:tcBorders>
              <w:top w:val="single" w:sz="4" w:space="0" w:color="auto"/>
            </w:tcBorders>
            <w:noWrap/>
            <w:vAlign w:val="bottom"/>
          </w:tcPr>
          <w:p w:rsidR="001503CF" w:rsidRPr="00524AE2" w:rsidRDefault="001503CF" w:rsidP="001503CF">
            <w:pPr>
              <w:rPr>
                <w:rFonts w:cs="Calibri"/>
                <w:color w:val="000000"/>
                <w:sz w:val="22"/>
                <w:szCs w:val="22"/>
                <w:lang w:eastAsia="es-ES"/>
              </w:rPr>
            </w:pPr>
            <w:r w:rsidRPr="00524AE2">
              <w:rPr>
                <w:rFonts w:cs="Calibri"/>
                <w:color w:val="000000"/>
                <w:sz w:val="22"/>
                <w:szCs w:val="22"/>
                <w:lang w:eastAsia="es-ES"/>
              </w:rPr>
              <w:t> </w:t>
            </w:r>
          </w:p>
        </w:tc>
        <w:tc>
          <w:tcPr>
            <w:tcW w:w="1200" w:type="dxa"/>
            <w:tcBorders>
              <w:top w:val="single" w:sz="4" w:space="0" w:color="auto"/>
            </w:tcBorders>
            <w:noWrap/>
            <w:vAlign w:val="bottom"/>
          </w:tcPr>
          <w:p w:rsidR="001503CF" w:rsidRPr="00524AE2" w:rsidRDefault="001503CF" w:rsidP="001503CF">
            <w:pPr>
              <w:rPr>
                <w:rFonts w:cs="Calibri"/>
                <w:color w:val="000000"/>
                <w:sz w:val="22"/>
                <w:szCs w:val="22"/>
                <w:lang w:eastAsia="es-ES"/>
              </w:rPr>
            </w:pPr>
            <w:r w:rsidRPr="00524AE2">
              <w:rPr>
                <w:rFonts w:cs="Calibri"/>
                <w:color w:val="000000"/>
                <w:sz w:val="22"/>
                <w:szCs w:val="22"/>
                <w:lang w:eastAsia="es-ES"/>
              </w:rPr>
              <w:t> </w:t>
            </w:r>
          </w:p>
        </w:tc>
      </w:tr>
      <w:tr w:rsidR="001503CF" w:rsidRPr="00524AE2" w:rsidTr="001503CF">
        <w:trPr>
          <w:trHeight w:val="300"/>
          <w:jc w:val="center"/>
        </w:trPr>
        <w:tc>
          <w:tcPr>
            <w:tcW w:w="2415" w:type="dxa"/>
            <w:tcBorders>
              <w:bottom w:val="single" w:sz="4" w:space="0" w:color="auto"/>
            </w:tcBorders>
            <w:noWrap/>
            <w:vAlign w:val="bottom"/>
          </w:tcPr>
          <w:p w:rsidR="001503CF" w:rsidRPr="00524AE2" w:rsidRDefault="001503CF" w:rsidP="001503CF">
            <w:pPr>
              <w:rPr>
                <w:rFonts w:cs="Calibri"/>
                <w:b/>
                <w:bCs/>
                <w:color w:val="000000"/>
                <w:sz w:val="22"/>
                <w:szCs w:val="22"/>
                <w:lang w:eastAsia="es-ES"/>
              </w:rPr>
            </w:pPr>
            <w:r w:rsidRPr="00524AE2">
              <w:rPr>
                <w:rFonts w:cs="Calibri"/>
                <w:b/>
                <w:bCs/>
                <w:color w:val="000000"/>
                <w:sz w:val="22"/>
                <w:szCs w:val="22"/>
                <w:lang w:eastAsia="es-ES"/>
              </w:rPr>
              <w:t>FUENTE VARIACIÓN</w:t>
            </w:r>
          </w:p>
        </w:tc>
        <w:tc>
          <w:tcPr>
            <w:tcW w:w="626" w:type="dxa"/>
            <w:tcBorders>
              <w:bottom w:val="single" w:sz="4" w:space="0" w:color="auto"/>
            </w:tcBorders>
            <w:noWrap/>
            <w:vAlign w:val="bottom"/>
          </w:tcPr>
          <w:p w:rsidR="001503CF" w:rsidRPr="00524AE2" w:rsidRDefault="001503CF" w:rsidP="001503CF">
            <w:pPr>
              <w:rPr>
                <w:rFonts w:cs="Calibri"/>
                <w:b/>
                <w:bCs/>
                <w:color w:val="000000"/>
                <w:sz w:val="22"/>
                <w:szCs w:val="22"/>
                <w:lang w:eastAsia="es-ES"/>
              </w:rPr>
            </w:pPr>
            <w:r w:rsidRPr="00524AE2">
              <w:rPr>
                <w:rFonts w:cs="Calibri"/>
                <w:b/>
                <w:bCs/>
                <w:color w:val="000000"/>
                <w:sz w:val="22"/>
                <w:szCs w:val="22"/>
                <w:lang w:eastAsia="es-ES"/>
              </w:rPr>
              <w:t> </w:t>
            </w:r>
          </w:p>
        </w:tc>
        <w:tc>
          <w:tcPr>
            <w:tcW w:w="1200" w:type="dxa"/>
            <w:tcBorders>
              <w:bottom w:val="single" w:sz="4" w:space="0" w:color="auto"/>
            </w:tcBorders>
            <w:noWrap/>
            <w:vAlign w:val="bottom"/>
          </w:tcPr>
          <w:p w:rsidR="001503CF" w:rsidRPr="00524AE2" w:rsidRDefault="001503CF" w:rsidP="001503CF">
            <w:pPr>
              <w:rPr>
                <w:rFonts w:cs="Calibri"/>
                <w:b/>
                <w:bCs/>
                <w:color w:val="000000"/>
                <w:sz w:val="22"/>
                <w:szCs w:val="22"/>
                <w:lang w:eastAsia="es-ES"/>
              </w:rPr>
            </w:pPr>
            <w:r w:rsidRPr="00524AE2">
              <w:rPr>
                <w:rFonts w:cs="Calibri"/>
                <w:b/>
                <w:bCs/>
                <w:color w:val="000000"/>
                <w:sz w:val="22"/>
                <w:szCs w:val="22"/>
                <w:lang w:eastAsia="es-ES"/>
              </w:rPr>
              <w:t>SC</w:t>
            </w:r>
          </w:p>
        </w:tc>
        <w:tc>
          <w:tcPr>
            <w:tcW w:w="1200" w:type="dxa"/>
            <w:tcBorders>
              <w:bottom w:val="single" w:sz="4" w:space="0" w:color="auto"/>
            </w:tcBorders>
            <w:noWrap/>
            <w:vAlign w:val="bottom"/>
          </w:tcPr>
          <w:p w:rsidR="001503CF" w:rsidRPr="00524AE2" w:rsidRDefault="001503CF" w:rsidP="001503CF">
            <w:pPr>
              <w:rPr>
                <w:rFonts w:cs="Calibri"/>
                <w:b/>
                <w:bCs/>
                <w:color w:val="000000"/>
                <w:sz w:val="22"/>
                <w:szCs w:val="22"/>
                <w:lang w:eastAsia="es-ES"/>
              </w:rPr>
            </w:pPr>
            <w:r w:rsidRPr="00524AE2">
              <w:rPr>
                <w:rFonts w:cs="Calibri"/>
                <w:b/>
                <w:bCs/>
                <w:color w:val="000000"/>
                <w:sz w:val="22"/>
                <w:szCs w:val="22"/>
                <w:lang w:eastAsia="es-ES"/>
              </w:rPr>
              <w:t>GL</w:t>
            </w:r>
          </w:p>
        </w:tc>
        <w:tc>
          <w:tcPr>
            <w:tcW w:w="1200" w:type="dxa"/>
            <w:tcBorders>
              <w:bottom w:val="single" w:sz="4" w:space="0" w:color="auto"/>
            </w:tcBorders>
            <w:noWrap/>
            <w:vAlign w:val="bottom"/>
          </w:tcPr>
          <w:p w:rsidR="001503CF" w:rsidRPr="00524AE2" w:rsidRDefault="001503CF" w:rsidP="001503CF">
            <w:pPr>
              <w:rPr>
                <w:rFonts w:cs="Calibri"/>
                <w:b/>
                <w:bCs/>
                <w:color w:val="000000"/>
                <w:sz w:val="22"/>
                <w:szCs w:val="22"/>
                <w:lang w:eastAsia="es-ES"/>
              </w:rPr>
            </w:pPr>
            <w:r w:rsidRPr="00524AE2">
              <w:rPr>
                <w:rFonts w:cs="Calibri"/>
                <w:b/>
                <w:bCs/>
                <w:color w:val="000000"/>
                <w:sz w:val="22"/>
                <w:szCs w:val="22"/>
                <w:lang w:eastAsia="es-ES"/>
              </w:rPr>
              <w:t>MC</w:t>
            </w:r>
          </w:p>
        </w:tc>
        <w:tc>
          <w:tcPr>
            <w:tcW w:w="1200" w:type="dxa"/>
            <w:tcBorders>
              <w:bottom w:val="single" w:sz="4" w:space="0" w:color="auto"/>
            </w:tcBorders>
            <w:noWrap/>
            <w:vAlign w:val="bottom"/>
          </w:tcPr>
          <w:p w:rsidR="001503CF" w:rsidRPr="00524AE2" w:rsidRDefault="001503CF" w:rsidP="001503CF">
            <w:pPr>
              <w:rPr>
                <w:rFonts w:cs="Calibri"/>
                <w:b/>
                <w:bCs/>
                <w:color w:val="000000"/>
                <w:sz w:val="22"/>
                <w:szCs w:val="22"/>
                <w:lang w:eastAsia="es-ES"/>
              </w:rPr>
            </w:pPr>
            <w:r w:rsidRPr="00524AE2">
              <w:rPr>
                <w:rFonts w:cs="Calibri"/>
                <w:b/>
                <w:bCs/>
                <w:color w:val="000000"/>
                <w:sz w:val="22"/>
                <w:szCs w:val="22"/>
                <w:lang w:eastAsia="es-ES"/>
              </w:rPr>
              <w:t>F</w:t>
            </w:r>
          </w:p>
        </w:tc>
      </w:tr>
      <w:tr w:rsidR="001503CF" w:rsidRPr="00524AE2" w:rsidTr="001503CF">
        <w:trPr>
          <w:trHeight w:val="300"/>
          <w:jc w:val="center"/>
        </w:trPr>
        <w:tc>
          <w:tcPr>
            <w:tcW w:w="2415" w:type="dxa"/>
            <w:tcBorders>
              <w:top w:val="single" w:sz="4" w:space="0" w:color="auto"/>
            </w:tcBorders>
            <w:noWrap/>
            <w:vAlign w:val="bottom"/>
          </w:tcPr>
          <w:p w:rsidR="001503CF" w:rsidRPr="00524AE2" w:rsidRDefault="001503CF" w:rsidP="001503CF">
            <w:pPr>
              <w:rPr>
                <w:rFonts w:cs="Calibri"/>
                <w:b/>
                <w:bCs/>
                <w:color w:val="000000"/>
                <w:sz w:val="22"/>
                <w:szCs w:val="22"/>
                <w:lang w:eastAsia="es-ES"/>
              </w:rPr>
            </w:pPr>
            <w:r w:rsidRPr="00524AE2">
              <w:rPr>
                <w:rFonts w:cs="Calibri"/>
                <w:b/>
                <w:bCs/>
                <w:color w:val="000000"/>
                <w:sz w:val="22"/>
                <w:szCs w:val="22"/>
                <w:lang w:eastAsia="es-ES"/>
              </w:rPr>
              <w:t>ENTRE GRUPOS</w:t>
            </w:r>
          </w:p>
        </w:tc>
        <w:tc>
          <w:tcPr>
            <w:tcW w:w="626" w:type="dxa"/>
            <w:tcBorders>
              <w:top w:val="single" w:sz="4" w:space="0" w:color="auto"/>
            </w:tcBorders>
            <w:noWrap/>
            <w:vAlign w:val="bottom"/>
          </w:tcPr>
          <w:p w:rsidR="001503CF" w:rsidRPr="00524AE2" w:rsidRDefault="001503CF" w:rsidP="001503CF">
            <w:pPr>
              <w:rPr>
                <w:rFonts w:cs="Calibri"/>
                <w:b/>
                <w:bCs/>
                <w:color w:val="000000"/>
                <w:sz w:val="22"/>
                <w:szCs w:val="22"/>
                <w:lang w:eastAsia="es-ES"/>
              </w:rPr>
            </w:pPr>
            <w:r w:rsidRPr="00524AE2">
              <w:rPr>
                <w:rFonts w:cs="Calibri"/>
                <w:b/>
                <w:bCs/>
                <w:color w:val="000000"/>
                <w:sz w:val="22"/>
                <w:szCs w:val="22"/>
                <w:lang w:eastAsia="es-ES"/>
              </w:rPr>
              <w:t> </w:t>
            </w:r>
          </w:p>
        </w:tc>
        <w:tc>
          <w:tcPr>
            <w:tcW w:w="1200" w:type="dxa"/>
            <w:tcBorders>
              <w:top w:val="single" w:sz="4" w:space="0" w:color="auto"/>
            </w:tcBorders>
            <w:noWrap/>
            <w:vAlign w:val="bottom"/>
          </w:tcPr>
          <w:p w:rsidR="001503CF" w:rsidRPr="00524AE2" w:rsidRDefault="001503CF" w:rsidP="001503CF">
            <w:pPr>
              <w:rPr>
                <w:rFonts w:cs="Calibri"/>
                <w:color w:val="000000"/>
                <w:sz w:val="22"/>
                <w:szCs w:val="22"/>
                <w:lang w:eastAsia="es-ES"/>
              </w:rPr>
            </w:pPr>
            <w:r w:rsidRPr="00524AE2">
              <w:rPr>
                <w:rFonts w:cs="Calibri"/>
                <w:color w:val="000000"/>
                <w:sz w:val="22"/>
                <w:szCs w:val="22"/>
                <w:lang w:eastAsia="es-ES"/>
              </w:rPr>
              <w:t>316,875</w:t>
            </w:r>
          </w:p>
        </w:tc>
        <w:tc>
          <w:tcPr>
            <w:tcW w:w="1200" w:type="dxa"/>
            <w:tcBorders>
              <w:top w:val="single" w:sz="4" w:space="0" w:color="auto"/>
            </w:tcBorders>
            <w:noWrap/>
            <w:vAlign w:val="bottom"/>
          </w:tcPr>
          <w:p w:rsidR="001503CF" w:rsidRPr="00524AE2" w:rsidRDefault="001503CF" w:rsidP="001503CF">
            <w:pPr>
              <w:rPr>
                <w:rFonts w:cs="Calibri"/>
                <w:color w:val="000000"/>
                <w:sz w:val="22"/>
                <w:szCs w:val="22"/>
                <w:lang w:eastAsia="es-ES"/>
              </w:rPr>
            </w:pPr>
            <w:r w:rsidRPr="00524AE2">
              <w:rPr>
                <w:rFonts w:cs="Calibri"/>
                <w:color w:val="000000"/>
                <w:sz w:val="22"/>
                <w:szCs w:val="22"/>
                <w:lang w:eastAsia="es-ES"/>
              </w:rPr>
              <w:t>1</w:t>
            </w:r>
          </w:p>
        </w:tc>
        <w:tc>
          <w:tcPr>
            <w:tcW w:w="1200" w:type="dxa"/>
            <w:tcBorders>
              <w:top w:val="single" w:sz="4" w:space="0" w:color="auto"/>
            </w:tcBorders>
            <w:noWrap/>
            <w:vAlign w:val="bottom"/>
          </w:tcPr>
          <w:p w:rsidR="001503CF" w:rsidRPr="00524AE2" w:rsidRDefault="001503CF" w:rsidP="001503CF">
            <w:pPr>
              <w:rPr>
                <w:rFonts w:cs="Calibri"/>
                <w:color w:val="000000"/>
                <w:sz w:val="22"/>
                <w:szCs w:val="22"/>
                <w:lang w:eastAsia="es-ES"/>
              </w:rPr>
            </w:pPr>
            <w:r w:rsidRPr="00524AE2">
              <w:rPr>
                <w:rFonts w:cs="Calibri"/>
                <w:color w:val="000000"/>
                <w:sz w:val="22"/>
                <w:szCs w:val="22"/>
                <w:lang w:eastAsia="es-ES"/>
              </w:rPr>
              <w:t>316,875</w:t>
            </w:r>
          </w:p>
        </w:tc>
        <w:tc>
          <w:tcPr>
            <w:tcW w:w="1200" w:type="dxa"/>
            <w:tcBorders>
              <w:top w:val="single" w:sz="4" w:space="0" w:color="auto"/>
            </w:tcBorders>
            <w:noWrap/>
            <w:vAlign w:val="bottom"/>
          </w:tcPr>
          <w:p w:rsidR="001503CF" w:rsidRPr="00524AE2" w:rsidRDefault="001503CF" w:rsidP="001503CF">
            <w:pPr>
              <w:jc w:val="right"/>
              <w:rPr>
                <w:rFonts w:cs="Calibri"/>
                <w:color w:val="FF0000"/>
                <w:sz w:val="22"/>
                <w:szCs w:val="22"/>
                <w:lang w:eastAsia="es-ES"/>
              </w:rPr>
            </w:pPr>
            <w:r w:rsidRPr="00524AE2">
              <w:rPr>
                <w:rFonts w:cs="Calibri"/>
                <w:color w:val="000000"/>
                <w:sz w:val="22"/>
                <w:szCs w:val="22"/>
                <w:lang w:eastAsia="es-ES"/>
              </w:rPr>
              <w:t>19,1052262</w:t>
            </w:r>
          </w:p>
        </w:tc>
      </w:tr>
      <w:tr w:rsidR="001503CF" w:rsidRPr="00524AE2" w:rsidTr="001503CF">
        <w:trPr>
          <w:trHeight w:val="300"/>
          <w:jc w:val="center"/>
        </w:trPr>
        <w:tc>
          <w:tcPr>
            <w:tcW w:w="2415" w:type="dxa"/>
            <w:noWrap/>
            <w:vAlign w:val="bottom"/>
          </w:tcPr>
          <w:p w:rsidR="001503CF" w:rsidRPr="00524AE2" w:rsidRDefault="001503CF" w:rsidP="001503CF">
            <w:pPr>
              <w:rPr>
                <w:rFonts w:cs="Calibri"/>
                <w:b/>
                <w:bCs/>
                <w:color w:val="000000"/>
                <w:sz w:val="22"/>
                <w:szCs w:val="22"/>
                <w:lang w:eastAsia="es-ES"/>
              </w:rPr>
            </w:pPr>
            <w:r w:rsidRPr="00524AE2">
              <w:rPr>
                <w:rFonts w:cs="Calibri"/>
                <w:b/>
                <w:bCs/>
                <w:color w:val="000000"/>
                <w:sz w:val="22"/>
                <w:szCs w:val="22"/>
                <w:lang w:eastAsia="es-ES"/>
              </w:rPr>
              <w:t>DENTRO GRUPOS</w:t>
            </w:r>
          </w:p>
        </w:tc>
        <w:tc>
          <w:tcPr>
            <w:tcW w:w="626" w:type="dxa"/>
            <w:noWrap/>
            <w:vAlign w:val="bottom"/>
          </w:tcPr>
          <w:p w:rsidR="001503CF" w:rsidRPr="00524AE2" w:rsidRDefault="001503CF" w:rsidP="001503CF">
            <w:pPr>
              <w:rPr>
                <w:rFonts w:cs="Calibri"/>
                <w:b/>
                <w:bCs/>
                <w:color w:val="000000"/>
                <w:sz w:val="22"/>
                <w:szCs w:val="22"/>
                <w:lang w:eastAsia="es-ES"/>
              </w:rPr>
            </w:pPr>
            <w:r w:rsidRPr="00524AE2">
              <w:rPr>
                <w:rFonts w:cs="Calibri"/>
                <w:b/>
                <w:bCs/>
                <w:color w:val="000000"/>
                <w:sz w:val="22"/>
                <w:szCs w:val="22"/>
                <w:lang w:eastAsia="es-ES"/>
              </w:rPr>
              <w:t> </w:t>
            </w:r>
          </w:p>
        </w:tc>
        <w:tc>
          <w:tcPr>
            <w:tcW w:w="1200" w:type="dxa"/>
            <w:noWrap/>
            <w:vAlign w:val="bottom"/>
          </w:tcPr>
          <w:p w:rsidR="001503CF" w:rsidRPr="00524AE2" w:rsidRDefault="001503CF" w:rsidP="001503CF">
            <w:pPr>
              <w:rPr>
                <w:rFonts w:cs="Calibri"/>
                <w:color w:val="000000"/>
                <w:sz w:val="22"/>
                <w:szCs w:val="22"/>
                <w:lang w:eastAsia="es-ES"/>
              </w:rPr>
            </w:pPr>
            <w:r w:rsidRPr="00524AE2">
              <w:rPr>
                <w:rFonts w:cs="Calibri"/>
                <w:color w:val="000000"/>
                <w:sz w:val="22"/>
                <w:szCs w:val="22"/>
                <w:lang w:eastAsia="es-ES"/>
              </w:rPr>
              <w:t>961,975</w:t>
            </w:r>
          </w:p>
        </w:tc>
        <w:tc>
          <w:tcPr>
            <w:tcW w:w="1200" w:type="dxa"/>
            <w:noWrap/>
            <w:vAlign w:val="bottom"/>
          </w:tcPr>
          <w:p w:rsidR="001503CF" w:rsidRPr="00524AE2" w:rsidRDefault="001503CF" w:rsidP="001503CF">
            <w:pPr>
              <w:rPr>
                <w:rFonts w:cs="Calibri"/>
                <w:color w:val="000000"/>
                <w:sz w:val="22"/>
                <w:szCs w:val="22"/>
                <w:lang w:eastAsia="es-ES"/>
              </w:rPr>
            </w:pPr>
            <w:r w:rsidRPr="00524AE2">
              <w:rPr>
                <w:rFonts w:cs="Calibri"/>
                <w:color w:val="000000"/>
                <w:sz w:val="22"/>
                <w:szCs w:val="22"/>
                <w:lang w:eastAsia="es-ES"/>
              </w:rPr>
              <w:t>58</w:t>
            </w:r>
          </w:p>
        </w:tc>
        <w:tc>
          <w:tcPr>
            <w:tcW w:w="1200" w:type="dxa"/>
            <w:noWrap/>
            <w:vAlign w:val="bottom"/>
          </w:tcPr>
          <w:p w:rsidR="001503CF" w:rsidRPr="00524AE2" w:rsidRDefault="001503CF" w:rsidP="001503CF">
            <w:pPr>
              <w:jc w:val="right"/>
              <w:rPr>
                <w:rFonts w:cs="Calibri"/>
                <w:color w:val="000000"/>
                <w:sz w:val="22"/>
                <w:szCs w:val="22"/>
                <w:lang w:eastAsia="es-ES"/>
              </w:rPr>
            </w:pPr>
            <w:r w:rsidRPr="00524AE2">
              <w:rPr>
                <w:rFonts w:cs="Calibri"/>
                <w:color w:val="000000"/>
                <w:sz w:val="22"/>
                <w:szCs w:val="22"/>
                <w:lang w:eastAsia="es-ES"/>
              </w:rPr>
              <w:t>16,5857759</w:t>
            </w:r>
          </w:p>
        </w:tc>
        <w:tc>
          <w:tcPr>
            <w:tcW w:w="1200" w:type="dxa"/>
            <w:noWrap/>
            <w:vAlign w:val="bottom"/>
          </w:tcPr>
          <w:p w:rsidR="001503CF" w:rsidRPr="00524AE2" w:rsidRDefault="001503CF" w:rsidP="001503CF">
            <w:pPr>
              <w:rPr>
                <w:rFonts w:cs="Calibri"/>
                <w:color w:val="000000"/>
                <w:sz w:val="22"/>
                <w:szCs w:val="22"/>
                <w:lang w:eastAsia="es-ES"/>
              </w:rPr>
            </w:pPr>
            <w:r w:rsidRPr="00524AE2">
              <w:rPr>
                <w:rFonts w:cs="Calibri"/>
                <w:color w:val="000000"/>
                <w:sz w:val="22"/>
                <w:szCs w:val="22"/>
                <w:lang w:eastAsia="es-ES"/>
              </w:rPr>
              <w:t> </w:t>
            </w:r>
          </w:p>
        </w:tc>
      </w:tr>
      <w:tr w:rsidR="001503CF" w:rsidRPr="00524AE2" w:rsidTr="001503CF">
        <w:trPr>
          <w:trHeight w:val="300"/>
          <w:jc w:val="center"/>
        </w:trPr>
        <w:tc>
          <w:tcPr>
            <w:tcW w:w="2415" w:type="dxa"/>
            <w:tcBorders>
              <w:bottom w:val="single" w:sz="4" w:space="0" w:color="auto"/>
            </w:tcBorders>
            <w:noWrap/>
            <w:vAlign w:val="bottom"/>
          </w:tcPr>
          <w:p w:rsidR="001503CF" w:rsidRPr="00524AE2" w:rsidRDefault="001503CF" w:rsidP="001503CF">
            <w:pPr>
              <w:rPr>
                <w:rFonts w:cs="Calibri"/>
                <w:b/>
                <w:bCs/>
                <w:color w:val="000000"/>
                <w:sz w:val="22"/>
                <w:szCs w:val="22"/>
                <w:lang w:eastAsia="es-ES"/>
              </w:rPr>
            </w:pPr>
            <w:r w:rsidRPr="00524AE2">
              <w:rPr>
                <w:rFonts w:cs="Calibri"/>
                <w:b/>
                <w:bCs/>
                <w:color w:val="000000"/>
                <w:sz w:val="22"/>
                <w:szCs w:val="22"/>
                <w:lang w:eastAsia="es-ES"/>
              </w:rPr>
              <w:t>TOTAL</w:t>
            </w:r>
          </w:p>
        </w:tc>
        <w:tc>
          <w:tcPr>
            <w:tcW w:w="626" w:type="dxa"/>
            <w:tcBorders>
              <w:bottom w:val="single" w:sz="4" w:space="0" w:color="auto"/>
            </w:tcBorders>
            <w:noWrap/>
            <w:vAlign w:val="bottom"/>
          </w:tcPr>
          <w:p w:rsidR="001503CF" w:rsidRPr="00524AE2" w:rsidRDefault="001503CF" w:rsidP="001503CF">
            <w:pPr>
              <w:rPr>
                <w:rFonts w:cs="Calibri"/>
                <w:b/>
                <w:bCs/>
                <w:color w:val="000000"/>
                <w:sz w:val="22"/>
                <w:szCs w:val="22"/>
                <w:lang w:eastAsia="es-ES"/>
              </w:rPr>
            </w:pPr>
            <w:r w:rsidRPr="00524AE2">
              <w:rPr>
                <w:rFonts w:cs="Calibri"/>
                <w:b/>
                <w:bCs/>
                <w:color w:val="000000"/>
                <w:sz w:val="22"/>
                <w:szCs w:val="22"/>
                <w:lang w:eastAsia="es-ES"/>
              </w:rPr>
              <w:t> </w:t>
            </w:r>
          </w:p>
        </w:tc>
        <w:tc>
          <w:tcPr>
            <w:tcW w:w="1200" w:type="dxa"/>
            <w:tcBorders>
              <w:bottom w:val="single" w:sz="4" w:space="0" w:color="auto"/>
            </w:tcBorders>
            <w:noWrap/>
            <w:vAlign w:val="bottom"/>
          </w:tcPr>
          <w:p w:rsidR="001503CF" w:rsidRPr="00524AE2" w:rsidRDefault="001503CF" w:rsidP="001503CF">
            <w:pPr>
              <w:rPr>
                <w:rFonts w:cs="Calibri"/>
                <w:color w:val="000000"/>
                <w:sz w:val="22"/>
                <w:szCs w:val="22"/>
                <w:lang w:eastAsia="es-ES"/>
              </w:rPr>
            </w:pPr>
            <w:r w:rsidRPr="00524AE2">
              <w:rPr>
                <w:rFonts w:cs="Calibri"/>
                <w:color w:val="000000"/>
                <w:sz w:val="22"/>
                <w:szCs w:val="22"/>
                <w:lang w:eastAsia="es-ES"/>
              </w:rPr>
              <w:t>1278,85</w:t>
            </w:r>
          </w:p>
        </w:tc>
        <w:tc>
          <w:tcPr>
            <w:tcW w:w="1200" w:type="dxa"/>
            <w:tcBorders>
              <w:bottom w:val="single" w:sz="4" w:space="0" w:color="auto"/>
            </w:tcBorders>
            <w:noWrap/>
            <w:vAlign w:val="bottom"/>
          </w:tcPr>
          <w:p w:rsidR="001503CF" w:rsidRPr="00524AE2" w:rsidRDefault="001503CF" w:rsidP="001503CF">
            <w:pPr>
              <w:rPr>
                <w:rFonts w:cs="Calibri"/>
                <w:color w:val="000000"/>
                <w:sz w:val="22"/>
                <w:szCs w:val="22"/>
                <w:lang w:eastAsia="es-ES"/>
              </w:rPr>
            </w:pPr>
            <w:r w:rsidRPr="00524AE2">
              <w:rPr>
                <w:rFonts w:cs="Calibri"/>
                <w:color w:val="000000"/>
                <w:sz w:val="22"/>
                <w:szCs w:val="22"/>
                <w:lang w:eastAsia="es-ES"/>
              </w:rPr>
              <w:t>59</w:t>
            </w:r>
          </w:p>
        </w:tc>
        <w:tc>
          <w:tcPr>
            <w:tcW w:w="1200" w:type="dxa"/>
            <w:tcBorders>
              <w:bottom w:val="single" w:sz="4" w:space="0" w:color="auto"/>
            </w:tcBorders>
            <w:noWrap/>
            <w:vAlign w:val="bottom"/>
          </w:tcPr>
          <w:p w:rsidR="001503CF" w:rsidRPr="00524AE2" w:rsidRDefault="001503CF" w:rsidP="001503CF">
            <w:pPr>
              <w:jc w:val="right"/>
              <w:rPr>
                <w:rFonts w:cs="Calibri"/>
                <w:color w:val="000000"/>
                <w:sz w:val="22"/>
                <w:szCs w:val="22"/>
                <w:lang w:eastAsia="es-ES"/>
              </w:rPr>
            </w:pPr>
            <w:r w:rsidRPr="00524AE2">
              <w:rPr>
                <w:rFonts w:cs="Calibri"/>
                <w:color w:val="000000"/>
                <w:sz w:val="22"/>
                <w:szCs w:val="22"/>
                <w:lang w:eastAsia="es-ES"/>
              </w:rPr>
              <w:t>21,6754237</w:t>
            </w:r>
          </w:p>
        </w:tc>
        <w:tc>
          <w:tcPr>
            <w:tcW w:w="1200" w:type="dxa"/>
            <w:tcBorders>
              <w:bottom w:val="single" w:sz="4" w:space="0" w:color="auto"/>
            </w:tcBorders>
            <w:noWrap/>
            <w:vAlign w:val="bottom"/>
          </w:tcPr>
          <w:p w:rsidR="001503CF" w:rsidRPr="00524AE2" w:rsidRDefault="001503CF" w:rsidP="001503CF">
            <w:pPr>
              <w:rPr>
                <w:rFonts w:cs="Calibri"/>
                <w:color w:val="000000"/>
                <w:sz w:val="22"/>
                <w:szCs w:val="22"/>
                <w:lang w:eastAsia="es-ES"/>
              </w:rPr>
            </w:pPr>
            <w:r w:rsidRPr="00524AE2">
              <w:rPr>
                <w:rFonts w:cs="Calibri"/>
                <w:color w:val="000000"/>
                <w:sz w:val="22"/>
                <w:szCs w:val="22"/>
                <w:lang w:eastAsia="es-ES"/>
              </w:rPr>
              <w:t> </w:t>
            </w:r>
          </w:p>
        </w:tc>
      </w:tr>
    </w:tbl>
    <w:p w:rsidR="001503CF" w:rsidRDefault="001503CF" w:rsidP="001503CF">
      <w:pPr>
        <w:pStyle w:val="TextoNormal"/>
        <w:ind w:firstLine="0"/>
        <w:jc w:val="center"/>
        <w:rPr>
          <w:sz w:val="20"/>
          <w:szCs w:val="20"/>
        </w:rPr>
      </w:pPr>
      <w:r>
        <w:rPr>
          <w:sz w:val="20"/>
          <w:szCs w:val="20"/>
        </w:rPr>
        <w:t>Fuente: Elaboración propia</w:t>
      </w:r>
    </w:p>
    <w:p w:rsidR="001503CF" w:rsidRDefault="001503CF" w:rsidP="001503CF">
      <w:pPr>
        <w:pStyle w:val="TextoNormal"/>
        <w:ind w:firstLine="0"/>
      </w:pPr>
    </w:p>
    <w:p w:rsidR="001503CF" w:rsidRDefault="001503CF" w:rsidP="001503CF">
      <w:pPr>
        <w:ind w:firstLine="567"/>
        <w:rPr>
          <w:sz w:val="24"/>
        </w:rPr>
      </w:pPr>
      <w:r>
        <w:rPr>
          <w:sz w:val="24"/>
        </w:rPr>
        <w:t xml:space="preserve">Por tanto, podemos rechazar la hipótesis nula y aceptar la siguiente hipótesis alternativa: </w:t>
      </w:r>
    </w:p>
    <w:p w:rsidR="001503CF" w:rsidRDefault="001503CF" w:rsidP="001503CF">
      <w:pPr>
        <w:rPr>
          <w:i/>
          <w:sz w:val="24"/>
        </w:rPr>
      </w:pPr>
    </w:p>
    <w:p w:rsidR="001503CF" w:rsidRPr="00756475" w:rsidRDefault="001503CF" w:rsidP="001503CF">
      <w:pPr>
        <w:ind w:firstLine="567"/>
        <w:rPr>
          <w:i/>
          <w:sz w:val="24"/>
        </w:rPr>
      </w:pPr>
      <w:r>
        <w:rPr>
          <w:i/>
          <w:sz w:val="24"/>
        </w:rPr>
        <w:t xml:space="preserve">Existen </w:t>
      </w:r>
      <w:r w:rsidRPr="00756475">
        <w:rPr>
          <w:i/>
          <w:sz w:val="24"/>
        </w:rPr>
        <w:t xml:space="preserve">diferencias estadísticamente significativas, en cuanto al desarrollo de </w:t>
      </w:r>
      <w:r>
        <w:rPr>
          <w:i/>
          <w:sz w:val="24"/>
        </w:rPr>
        <w:t>la competencia científica</w:t>
      </w:r>
      <w:r w:rsidRPr="00756475">
        <w:rPr>
          <w:i/>
          <w:sz w:val="24"/>
        </w:rPr>
        <w:t>, entre los estudiantes que siguen una metodolo</w:t>
      </w:r>
      <w:r>
        <w:rPr>
          <w:i/>
          <w:sz w:val="24"/>
        </w:rPr>
        <w:t>gía de enseñanza de la ciencia</w:t>
      </w:r>
      <w:r w:rsidRPr="00756475">
        <w:rPr>
          <w:i/>
          <w:sz w:val="24"/>
        </w:rPr>
        <w:t xml:space="preserve"> basada en la indagación </w:t>
      </w:r>
      <w:r>
        <w:rPr>
          <w:i/>
          <w:sz w:val="24"/>
        </w:rPr>
        <w:t xml:space="preserve">guiada </w:t>
      </w:r>
      <w:r w:rsidRPr="00756475">
        <w:rPr>
          <w:i/>
          <w:sz w:val="24"/>
        </w:rPr>
        <w:t xml:space="preserve">y los que siguen una metodología </w:t>
      </w:r>
      <w:r>
        <w:rPr>
          <w:i/>
          <w:sz w:val="24"/>
        </w:rPr>
        <w:t xml:space="preserve">tradicional </w:t>
      </w:r>
      <w:r w:rsidRPr="00756475">
        <w:rPr>
          <w:i/>
          <w:sz w:val="24"/>
        </w:rPr>
        <w:t>de enseñanza d</w:t>
      </w:r>
      <w:r>
        <w:rPr>
          <w:i/>
          <w:sz w:val="24"/>
        </w:rPr>
        <w:t>e la misma.</w:t>
      </w:r>
    </w:p>
    <w:p w:rsidR="001503CF" w:rsidRPr="00FE501D" w:rsidRDefault="001503CF" w:rsidP="001503CF">
      <w:pPr>
        <w:rPr>
          <w:i/>
          <w:sz w:val="24"/>
        </w:rPr>
      </w:pPr>
    </w:p>
    <w:p w:rsidR="001503CF" w:rsidRDefault="001503CF" w:rsidP="001503CF">
      <w:pPr>
        <w:ind w:firstLine="567"/>
        <w:rPr>
          <w:sz w:val="24"/>
        </w:rPr>
      </w:pPr>
      <w:r>
        <w:rPr>
          <w:sz w:val="24"/>
        </w:rPr>
        <w:t xml:space="preserve">El tamaño </w:t>
      </w:r>
      <w:proofErr w:type="gramStart"/>
      <w:r>
        <w:rPr>
          <w:sz w:val="24"/>
        </w:rPr>
        <w:t>del</w:t>
      </w:r>
      <w:proofErr w:type="gramEnd"/>
      <w:r>
        <w:rPr>
          <w:sz w:val="24"/>
        </w:rPr>
        <w:t xml:space="preserve"> efecto de la mejora en competencia científica del grupo experimental se ha calculado mediante la d de Cohen, cuando el tamaño de los grupos es desigual. El valor obtenido es 1,217, lo que nos permite afirmar que el efecto es fuerte (Cohen, 1988) o muy fuerte (Sawilowsky, 2009). </w:t>
      </w:r>
    </w:p>
    <w:p w:rsidR="001503CF" w:rsidRDefault="001503CF" w:rsidP="001503CF">
      <w:pPr>
        <w:ind w:firstLine="567"/>
        <w:rPr>
          <w:sz w:val="24"/>
        </w:rPr>
      </w:pPr>
      <w:r>
        <w:rPr>
          <w:sz w:val="24"/>
        </w:rPr>
        <w:lastRenderedPageBreak/>
        <w:t>Para conocer qué porcentaje de la varianza es explicada por la variable independiente se ha calculado η</w:t>
      </w:r>
      <w:r>
        <w:rPr>
          <w:sz w:val="24"/>
          <w:vertAlign w:val="superscript"/>
        </w:rPr>
        <w:t>2</w:t>
      </w:r>
      <w:r>
        <w:rPr>
          <w:sz w:val="24"/>
        </w:rPr>
        <w:t>, dando un valor de 0</w:t>
      </w:r>
      <w:proofErr w:type="gramStart"/>
      <w:r>
        <w:rPr>
          <w:sz w:val="24"/>
        </w:rPr>
        <w:t>,2478</w:t>
      </w:r>
      <w:proofErr w:type="gramEnd"/>
      <w:r>
        <w:rPr>
          <w:sz w:val="24"/>
        </w:rPr>
        <w:t>. Por tanto, el porcentaje de varianza total explicada por el uso de la metodología IBSE es del 24</w:t>
      </w:r>
      <w:proofErr w:type="gramStart"/>
      <w:r>
        <w:rPr>
          <w:sz w:val="24"/>
        </w:rPr>
        <w:t>,78</w:t>
      </w:r>
      <w:proofErr w:type="gramEnd"/>
      <w:r>
        <w:rPr>
          <w:sz w:val="24"/>
        </w:rPr>
        <w:t xml:space="preserve"> %.  En el contexto </w:t>
      </w:r>
      <w:proofErr w:type="gramStart"/>
      <w:r>
        <w:rPr>
          <w:sz w:val="24"/>
        </w:rPr>
        <w:t>del</w:t>
      </w:r>
      <w:proofErr w:type="gramEnd"/>
      <w:r>
        <w:rPr>
          <w:sz w:val="24"/>
        </w:rPr>
        <w:t xml:space="preserve"> ANAVA también se puede interpretar la varianza total explicada mediante la razón de correlación. En este caso, r = 0</w:t>
      </w:r>
      <w:proofErr w:type="gramStart"/>
      <w:r>
        <w:rPr>
          <w:sz w:val="24"/>
        </w:rPr>
        <w:t>,4978</w:t>
      </w:r>
      <w:proofErr w:type="gramEnd"/>
      <w:r>
        <w:rPr>
          <w:sz w:val="24"/>
        </w:rPr>
        <w:t xml:space="preserve">, lo que se interpreta como un efecto grande (Cohen, 1988). </w:t>
      </w:r>
    </w:p>
    <w:p w:rsidR="001503CF" w:rsidRDefault="001503CF" w:rsidP="001503CF">
      <w:pPr>
        <w:rPr>
          <w:sz w:val="24"/>
        </w:rPr>
      </w:pPr>
    </w:p>
    <w:p w:rsidR="001503CF" w:rsidRPr="001503CF" w:rsidRDefault="001503CF" w:rsidP="001503CF">
      <w:pPr>
        <w:pStyle w:val="Encabezado1"/>
      </w:pPr>
      <w:r>
        <w:t>discusión y conclusiones</w:t>
      </w:r>
    </w:p>
    <w:p w:rsidR="001503CF" w:rsidRDefault="001503CF" w:rsidP="005A231F">
      <w:pPr>
        <w:pStyle w:val="TextoNormal"/>
        <w:ind w:firstLine="0"/>
        <w:rPr>
          <w:b/>
        </w:rPr>
      </w:pPr>
    </w:p>
    <w:p w:rsidR="001503CF" w:rsidRDefault="001503CF" w:rsidP="001503CF">
      <w:pPr>
        <w:ind w:firstLine="567"/>
        <w:rPr>
          <w:sz w:val="24"/>
        </w:rPr>
      </w:pPr>
      <w:r>
        <w:rPr>
          <w:sz w:val="24"/>
        </w:rPr>
        <w:t xml:space="preserve">Aún muchos profesores, al menos en la etapa Secundaria, siguen defendiendo la instrucción tradicional, centrada en el docente y en los contenidos </w:t>
      </w:r>
      <w:proofErr w:type="gramStart"/>
      <w:r>
        <w:rPr>
          <w:sz w:val="24"/>
        </w:rPr>
        <w:t>del</w:t>
      </w:r>
      <w:proofErr w:type="gramEnd"/>
      <w:r>
        <w:rPr>
          <w:sz w:val="24"/>
        </w:rPr>
        <w:t xml:space="preserve"> libro de texto, como la mejor forma de enseñar ciencias. Algunos autores, críticos con la enseñanza basada en la investigación (Kirschner, Sweller, and Clark, 2006), defienden esta postura, que se puede ver apoyada por cierta interpretación en los informes de las pruebas PISA. Así, en el informe de ciencias de 2015 (OCDE, 2016) se asocia positivamente el rendimiento en ciencias con la metodología de enseñanza dirigida por el docente, mientras que se encuentra una relación negativa entre el rendimiento de los estudiantes en ciencias y la metodología de enseñanza basada en la investigación. Sin embargo, </w:t>
      </w:r>
      <w:proofErr w:type="gramStart"/>
      <w:r>
        <w:rPr>
          <w:sz w:val="24"/>
        </w:rPr>
        <w:t>un</w:t>
      </w:r>
      <w:proofErr w:type="gramEnd"/>
      <w:r>
        <w:rPr>
          <w:sz w:val="24"/>
        </w:rPr>
        <w:t xml:space="preserve"> reciente estudio que analiza los resultados del correspondiente informe español pone en duda algunas cuestiones metodológicas, concluyendo que el índice utilizado no mide adecuadamente la enseñanza dirigida por el profesor y que no está justificado la suposición de que esa metodología produzca mejores resultados en los e</w:t>
      </w:r>
      <w:r w:rsidR="007A6B28">
        <w:rPr>
          <w:sz w:val="24"/>
        </w:rPr>
        <w:t>studiantes de ciencias (</w:t>
      </w:r>
      <w:r w:rsidR="007A6B28">
        <w:rPr>
          <w:color w:val="222222"/>
          <w:sz w:val="24"/>
          <w:shd w:val="clear" w:color="auto" w:fill="FFFFFF"/>
        </w:rPr>
        <w:t>Álvarez, Carleos</w:t>
      </w:r>
      <w:r w:rsidR="007A6B28" w:rsidRPr="00C2623C">
        <w:rPr>
          <w:color w:val="222222"/>
          <w:sz w:val="24"/>
          <w:shd w:val="clear" w:color="auto" w:fill="FFFFFF"/>
        </w:rPr>
        <w:t>, Corral</w:t>
      </w:r>
      <w:r w:rsidR="007A6B28">
        <w:rPr>
          <w:color w:val="222222"/>
          <w:sz w:val="24"/>
          <w:shd w:val="clear" w:color="auto" w:fill="FFFFFF"/>
        </w:rPr>
        <w:t xml:space="preserve"> y Prieto</w:t>
      </w:r>
      <w:r w:rsidRPr="00AD273B">
        <w:rPr>
          <w:sz w:val="24"/>
        </w:rPr>
        <w:t>,</w:t>
      </w:r>
      <w:r>
        <w:rPr>
          <w:sz w:val="24"/>
        </w:rPr>
        <w:t xml:space="preserve"> 2018). </w:t>
      </w:r>
    </w:p>
    <w:p w:rsidR="001503CF" w:rsidRDefault="001503CF" w:rsidP="001503CF">
      <w:pPr>
        <w:ind w:firstLine="567"/>
        <w:rPr>
          <w:sz w:val="24"/>
        </w:rPr>
      </w:pPr>
      <w:r>
        <w:rPr>
          <w:sz w:val="24"/>
        </w:rPr>
        <w:t xml:space="preserve">Por otra parte, existe numerosa evidencia a favor de la enseñanza basada en la investigación </w:t>
      </w:r>
      <w:proofErr w:type="gramStart"/>
      <w:r>
        <w:rPr>
          <w:sz w:val="24"/>
        </w:rPr>
        <w:t>como</w:t>
      </w:r>
      <w:proofErr w:type="gramEnd"/>
      <w:r>
        <w:rPr>
          <w:sz w:val="24"/>
        </w:rPr>
        <w:t xml:space="preserve"> metodología óptima para que los estudiantes aprendan ciencias. Cabe destacar las tres revisiones más recientes realizadas sobre el efecto del enfoque metodológico IBSE (Alfieri, Brooks, Aldrich y Tenenbaum, 2011, en Pedaste et al., 2015; Furtak, Seidel, Iverson y Briggs, 2012 y Lazonder y Harmsen, 2016, en Romero, 2017). Los resultados, que comentamos a continuación, son coherentes con los obtenidos en la presente investigación, en la que se ha constatado una mejora significativa en habilidades científicas obtenidas por los estudiantes que </w:t>
      </w:r>
      <w:proofErr w:type="gramStart"/>
      <w:r>
        <w:rPr>
          <w:sz w:val="24"/>
        </w:rPr>
        <w:t>han</w:t>
      </w:r>
      <w:proofErr w:type="gramEnd"/>
      <w:r>
        <w:rPr>
          <w:sz w:val="24"/>
        </w:rPr>
        <w:t xml:space="preserve"> seguido una metodología de aprendizaje basada en la indagación, en comparación con los que siguieron una metodología tradicional, centrada en el docente.</w:t>
      </w:r>
    </w:p>
    <w:p w:rsidR="001503CF" w:rsidRDefault="001503CF" w:rsidP="001503CF">
      <w:pPr>
        <w:ind w:firstLine="567"/>
        <w:rPr>
          <w:sz w:val="24"/>
        </w:rPr>
      </w:pPr>
      <w:r>
        <w:rPr>
          <w:sz w:val="24"/>
        </w:rPr>
        <w:t>En el primer metanálisis, Alf</w:t>
      </w:r>
      <w:r w:rsidR="004F3A38">
        <w:rPr>
          <w:sz w:val="24"/>
        </w:rPr>
        <w:t>i</w:t>
      </w:r>
      <w:r>
        <w:rPr>
          <w:sz w:val="24"/>
        </w:rPr>
        <w:t xml:space="preserve">eri </w:t>
      </w:r>
      <w:r w:rsidRPr="007A6B28">
        <w:rPr>
          <w:sz w:val="24"/>
        </w:rPr>
        <w:t>et al</w:t>
      </w:r>
      <w:r w:rsidRPr="00CB6BD8">
        <w:rPr>
          <w:i/>
          <w:sz w:val="24"/>
        </w:rPr>
        <w:t>.</w:t>
      </w:r>
      <w:r>
        <w:rPr>
          <w:sz w:val="24"/>
        </w:rPr>
        <w:t xml:space="preserve"> (2011) compararon la metodología por indagación con otros métodos, como la instrucción directa o la investigación por descubrimiento, llegando a la conclusión de que la enseñanza por indagación es mejor forma de aprendizaje de las ciencias que las otras dos, con un tamaño de efecto medio de d = 0,30. A una conclusión similar llegaron </w:t>
      </w:r>
      <w:r>
        <w:rPr>
          <w:sz w:val="24"/>
          <w:shd w:val="clear" w:color="auto" w:fill="FFFFFF"/>
        </w:rPr>
        <w:t xml:space="preserve">Hussain, Azeem y </w:t>
      </w:r>
      <w:r w:rsidRPr="000D1952">
        <w:rPr>
          <w:sz w:val="24"/>
          <w:shd w:val="clear" w:color="auto" w:fill="FFFFFF"/>
        </w:rPr>
        <w:t xml:space="preserve">Shakoor </w:t>
      </w:r>
      <w:r>
        <w:rPr>
          <w:sz w:val="24"/>
          <w:shd w:val="clear" w:color="auto" w:fill="FFFFFF"/>
        </w:rPr>
        <w:t>(</w:t>
      </w:r>
      <w:r w:rsidRPr="000D1952">
        <w:rPr>
          <w:sz w:val="24"/>
          <w:shd w:val="clear" w:color="auto" w:fill="FFFFFF"/>
        </w:rPr>
        <w:t>2011</w:t>
      </w:r>
      <w:r>
        <w:rPr>
          <w:sz w:val="24"/>
          <w:shd w:val="clear" w:color="auto" w:fill="FFFFFF"/>
        </w:rPr>
        <w:t xml:space="preserve">) en una investigación </w:t>
      </w:r>
      <w:r w:rsidRPr="000D1952">
        <w:rPr>
          <w:sz w:val="24"/>
        </w:rPr>
        <w:t xml:space="preserve">con </w:t>
      </w:r>
      <w:r>
        <w:rPr>
          <w:sz w:val="24"/>
        </w:rPr>
        <w:t>estudiantes de Educación Secundaria en la materia de Física, en la que compararon cuatro tratamientos, tres de indagación y uno tradicional, utilizando una metodología experimental, con pretest y postest. Los resultados mostraron que la indagación guiada, la indagación no guiada y la combinación de ambas son mejores métodos para la enseñanza de la física que la metodología tradicional.</w:t>
      </w:r>
    </w:p>
    <w:p w:rsidR="001503CF" w:rsidRDefault="001503CF" w:rsidP="001503CF">
      <w:pPr>
        <w:ind w:firstLine="567"/>
        <w:rPr>
          <w:sz w:val="24"/>
        </w:rPr>
      </w:pPr>
      <w:r>
        <w:rPr>
          <w:sz w:val="24"/>
        </w:rPr>
        <w:t xml:space="preserve">Por su parte, Furtak </w:t>
      </w:r>
      <w:r w:rsidRPr="007A6B28">
        <w:rPr>
          <w:sz w:val="24"/>
        </w:rPr>
        <w:t>et al.</w:t>
      </w:r>
      <w:r>
        <w:rPr>
          <w:sz w:val="24"/>
        </w:rPr>
        <w:t xml:space="preserve"> (2012) realizaron una revisión exhaustiva de artículos de gran calidad científica, experimentales o cuasi-experimentales, con diseño pre-post test y con grupo control. Clasificaron los trabajos en función </w:t>
      </w:r>
      <w:proofErr w:type="gramStart"/>
      <w:r>
        <w:rPr>
          <w:sz w:val="24"/>
        </w:rPr>
        <w:t>del</w:t>
      </w:r>
      <w:proofErr w:type="gramEnd"/>
      <w:r>
        <w:rPr>
          <w:sz w:val="24"/>
        </w:rPr>
        <w:t xml:space="preserve"> tipo de actividades que predominaban en la metodología por indagación utilizada en los estudios: procesuales, epistemológicas, conceptuales y sociales. Asimismo, también clasificaron los trabajos en intervenciones con menor o mayor guía por parte </w:t>
      </w:r>
      <w:proofErr w:type="gramStart"/>
      <w:r>
        <w:rPr>
          <w:sz w:val="24"/>
        </w:rPr>
        <w:t>del</w:t>
      </w:r>
      <w:proofErr w:type="gramEnd"/>
      <w:r>
        <w:rPr>
          <w:sz w:val="24"/>
        </w:rPr>
        <w:t xml:space="preserve"> profesorado. Los resultados mostraron que las investigaciones guiadas por el profesor tuvieron un tamaño del efecto 0</w:t>
      </w:r>
      <w:proofErr w:type="gramStart"/>
      <w:r>
        <w:rPr>
          <w:sz w:val="24"/>
        </w:rPr>
        <w:t>,40</w:t>
      </w:r>
      <w:proofErr w:type="gramEnd"/>
      <w:r>
        <w:rPr>
          <w:sz w:val="24"/>
        </w:rPr>
        <w:t xml:space="preserve"> superior que las investigaciones no guiadas. Además, encontraron un tamaño medio de efecto de d = 0</w:t>
      </w:r>
      <w:proofErr w:type="gramStart"/>
      <w:r>
        <w:rPr>
          <w:sz w:val="24"/>
        </w:rPr>
        <w:t>,50</w:t>
      </w:r>
      <w:proofErr w:type="gramEnd"/>
      <w:r>
        <w:rPr>
          <w:sz w:val="24"/>
        </w:rPr>
        <w:t xml:space="preserve">, con un mayor impacto de aquellos en los que contaban con actividades epistemológicas. </w:t>
      </w:r>
    </w:p>
    <w:p w:rsidR="001503CF" w:rsidRDefault="001503CF" w:rsidP="001503CF">
      <w:pPr>
        <w:ind w:firstLine="567"/>
        <w:rPr>
          <w:sz w:val="24"/>
        </w:rPr>
      </w:pPr>
      <w:r>
        <w:rPr>
          <w:sz w:val="24"/>
        </w:rPr>
        <w:t xml:space="preserve">En </w:t>
      </w:r>
      <w:proofErr w:type="gramStart"/>
      <w:r>
        <w:rPr>
          <w:sz w:val="24"/>
        </w:rPr>
        <w:t>este</w:t>
      </w:r>
      <w:proofErr w:type="gramEnd"/>
      <w:r>
        <w:rPr>
          <w:sz w:val="24"/>
        </w:rPr>
        <w:t xml:space="preserve"> sentido, e</w:t>
      </w:r>
      <w:r w:rsidRPr="0049269E">
        <w:rPr>
          <w:sz w:val="24"/>
        </w:rPr>
        <w:t xml:space="preserve">xiste suficiente evidencia, tras numerosos años de investigación en el campo de enseñanza de las ciencias, de que una enseñanza explícita es más efectiva que una enseñanza </w:t>
      </w:r>
      <w:r w:rsidRPr="0049269E">
        <w:rPr>
          <w:sz w:val="24"/>
        </w:rPr>
        <w:lastRenderedPageBreak/>
        <w:t>implícita para mejorar el aprendizaje de la naturaleza de la ciencia (Acevedo, 2009)</w:t>
      </w:r>
      <w:r>
        <w:rPr>
          <w:sz w:val="24"/>
        </w:rPr>
        <w:t xml:space="preserve">. Más aún, dentro de la opción de enseñanza explícita, sería más conveniente utilizar </w:t>
      </w:r>
      <w:proofErr w:type="gramStart"/>
      <w:r>
        <w:rPr>
          <w:sz w:val="24"/>
        </w:rPr>
        <w:t>un</w:t>
      </w:r>
      <w:proofErr w:type="gramEnd"/>
      <w:r>
        <w:rPr>
          <w:sz w:val="24"/>
        </w:rPr>
        <w:t xml:space="preserve"> enfoque de infusión, en el que se instruye explícitamente en las habilidades a desarrollar en los estudiantes desde el interior de una disciplina, en este caso, Biología y Geología. </w:t>
      </w:r>
      <w:proofErr w:type="gramStart"/>
      <w:r>
        <w:rPr>
          <w:sz w:val="24"/>
        </w:rPr>
        <w:t>Una revisión de 117 estudios en el campo de la habilidad de pensamiento crítico, muy asociada a diferentes dimensiones de la competencia científica, como la argumentación, comparó diferentes formas de instrucción, concluyendo que la manera más conveniente de enseñar una determinada habilidad de pensamiento es a través de la integración de la instrucción explícita con</w:t>
      </w:r>
      <w:r w:rsidR="00F50FEE">
        <w:rPr>
          <w:sz w:val="24"/>
        </w:rPr>
        <w:t xml:space="preserve"> el contenido académico (</w:t>
      </w:r>
      <w:r w:rsidR="00F50FEE">
        <w:rPr>
          <w:color w:val="222222"/>
          <w:sz w:val="24"/>
          <w:shd w:val="clear" w:color="auto" w:fill="FFFFFF"/>
          <w:lang w:val="en-GB"/>
        </w:rPr>
        <w:t xml:space="preserve">Abrami, </w:t>
      </w:r>
      <w:r w:rsidR="00F50FEE" w:rsidRPr="007870A4">
        <w:rPr>
          <w:color w:val="222222"/>
          <w:sz w:val="24"/>
          <w:shd w:val="clear" w:color="auto" w:fill="FFFFFF"/>
          <w:lang w:val="en-GB"/>
        </w:rPr>
        <w:t xml:space="preserve">Bernard, Borokhovski, Wade, Surkes,  Tamim, </w:t>
      </w:r>
      <w:r w:rsidR="00F50FEE">
        <w:rPr>
          <w:color w:val="222222"/>
          <w:sz w:val="24"/>
          <w:shd w:val="clear" w:color="auto" w:fill="FFFFFF"/>
          <w:lang w:val="en-GB"/>
        </w:rPr>
        <w:t>y</w:t>
      </w:r>
      <w:r w:rsidR="00F50FEE" w:rsidRPr="007870A4">
        <w:rPr>
          <w:color w:val="222222"/>
          <w:sz w:val="24"/>
          <w:shd w:val="clear" w:color="auto" w:fill="FFFFFF"/>
          <w:lang w:val="en-GB"/>
        </w:rPr>
        <w:t xml:space="preserve"> Zhang</w:t>
      </w:r>
      <w:r w:rsidRPr="00B94EFC">
        <w:rPr>
          <w:i/>
          <w:sz w:val="24"/>
        </w:rPr>
        <w:t>.,</w:t>
      </w:r>
      <w:r>
        <w:rPr>
          <w:sz w:val="24"/>
        </w:rPr>
        <w:t xml:space="preserve"> 2008).</w:t>
      </w:r>
      <w:proofErr w:type="gramEnd"/>
      <w:r>
        <w:rPr>
          <w:sz w:val="24"/>
        </w:rPr>
        <w:t xml:space="preserve"> </w:t>
      </w:r>
    </w:p>
    <w:p w:rsidR="001503CF" w:rsidRDefault="001503CF" w:rsidP="001503CF">
      <w:pPr>
        <w:ind w:firstLine="567"/>
        <w:rPr>
          <w:sz w:val="24"/>
        </w:rPr>
      </w:pPr>
      <w:r>
        <w:rPr>
          <w:sz w:val="24"/>
        </w:rPr>
        <w:t>Por último, en la revisión de Lazonder y Harmsen (2016), con criterios de selección similares a la revisión anterior, se clasificaron los estudios en orden a resultados de aprendizaje y tipo de guía. La indagación guiada mostró un efecto positivo, con tamaños de efecto diferentes en función del resultado de aprendizaje analizado, con d = 0</w:t>
      </w:r>
      <w:proofErr w:type="gramStart"/>
      <w:r>
        <w:rPr>
          <w:sz w:val="24"/>
        </w:rPr>
        <w:t>,66</w:t>
      </w:r>
      <w:proofErr w:type="gramEnd"/>
      <w:r>
        <w:rPr>
          <w:sz w:val="24"/>
        </w:rPr>
        <w:t xml:space="preserve"> en habilidades de investigación, con d = 0,71 en calidad de los procesos producidos por los estudiantes, y con d = 0,50 en el propio aprendizaje de los mismos. </w:t>
      </w:r>
    </w:p>
    <w:p w:rsidR="001503CF" w:rsidRDefault="001503CF" w:rsidP="001503CF">
      <w:pPr>
        <w:ind w:firstLine="567"/>
        <w:rPr>
          <w:sz w:val="24"/>
        </w:rPr>
      </w:pPr>
      <w:r>
        <w:rPr>
          <w:sz w:val="24"/>
        </w:rPr>
        <w:t xml:space="preserve">Por tanto, hay evidencia más que suficiente para afirmar que la aplicación </w:t>
      </w:r>
      <w:proofErr w:type="gramStart"/>
      <w:r>
        <w:rPr>
          <w:sz w:val="24"/>
        </w:rPr>
        <w:t>del</w:t>
      </w:r>
      <w:proofErr w:type="gramEnd"/>
      <w:r>
        <w:rPr>
          <w:sz w:val="24"/>
        </w:rPr>
        <w:t xml:space="preserve"> enfoque de indagación guiada favorece la adquisición de competencias relacionadas con la metodología científica y, en este sentido, es mejor opción que la enseñanza de las ciencias tradicional, basada en contenidos y en el uso de libro de texto como herramienta docente principal. </w:t>
      </w:r>
      <w:proofErr w:type="gramStart"/>
      <w:r>
        <w:rPr>
          <w:sz w:val="24"/>
        </w:rPr>
        <w:t xml:space="preserve">Además, ofrece muchas otras ventajas, señaladas en la revisión de Aguilera </w:t>
      </w:r>
      <w:r w:rsidRPr="007A6B28">
        <w:rPr>
          <w:sz w:val="24"/>
        </w:rPr>
        <w:t>et al</w:t>
      </w:r>
      <w:r>
        <w:rPr>
          <w:sz w:val="24"/>
        </w:rPr>
        <w:t xml:space="preserve"> (2018), como fomentar la autonomía de alumno, incentivar el trabajo cooperativo, generar actitudes positivas hacia la ciencia, elevar la motivación y satisfacción hacia el aprendizaje de las ciencias, mejorar la adquisición de contenidos, favorecer la reflexión y el pensamiento crítico, tomar conciencia de la utilidad del conocimiento científico en la vida de los estudiantes, etc.</w:t>
      </w:r>
      <w:proofErr w:type="gramEnd"/>
      <w:r>
        <w:rPr>
          <w:sz w:val="24"/>
        </w:rPr>
        <w:t xml:space="preserve"> </w:t>
      </w:r>
    </w:p>
    <w:p w:rsidR="001503CF" w:rsidRDefault="006B24FA" w:rsidP="001503CF">
      <w:pPr>
        <w:ind w:firstLine="567"/>
        <w:rPr>
          <w:sz w:val="24"/>
        </w:rPr>
      </w:pPr>
      <w:r>
        <w:rPr>
          <w:sz w:val="24"/>
        </w:rPr>
        <w:t>Por tanto, l</w:t>
      </w:r>
      <w:r w:rsidR="001503CF">
        <w:rPr>
          <w:sz w:val="24"/>
        </w:rPr>
        <w:t xml:space="preserve">a enseñanza explícita, con alto grado de estructuración, ofrece mejores resultados que la enseñanza implícita y abierta. Hay que tener en cuenta que, cuando se empieza con esta metodología con estudiantes sin experiencia en la misma, es necesario partir de una estrategia de aprendizaje muy guiado por parte </w:t>
      </w:r>
      <w:proofErr w:type="gramStart"/>
      <w:r w:rsidR="001503CF">
        <w:rPr>
          <w:sz w:val="24"/>
        </w:rPr>
        <w:t>del</w:t>
      </w:r>
      <w:proofErr w:type="gramEnd"/>
      <w:r w:rsidR="001503CF">
        <w:rPr>
          <w:sz w:val="24"/>
        </w:rPr>
        <w:t xml:space="preserve"> profesor. En las primeras semanas, es conveniente que las respuestas a las cuestiones que se vayan planteando en el aula </w:t>
      </w:r>
      <w:proofErr w:type="gramStart"/>
      <w:r w:rsidR="001503CF">
        <w:rPr>
          <w:sz w:val="24"/>
        </w:rPr>
        <w:t>sean</w:t>
      </w:r>
      <w:proofErr w:type="gramEnd"/>
      <w:r w:rsidR="001503CF">
        <w:rPr>
          <w:sz w:val="24"/>
        </w:rPr>
        <w:t xml:space="preserve"> de carácter cerrado. A medida que los estudiantes vayan desarrollando los procesos necesarios para ser cada vez más competentes realizando actividades científicas, se </w:t>
      </w:r>
      <w:r w:rsidR="00F50FEE">
        <w:rPr>
          <w:sz w:val="24"/>
        </w:rPr>
        <w:t xml:space="preserve">podrá ir pidiendo a los mismos </w:t>
      </w:r>
      <w:r w:rsidR="001503CF">
        <w:rPr>
          <w:sz w:val="24"/>
        </w:rPr>
        <w:t xml:space="preserve">respuestas más abiertas. </w:t>
      </w:r>
    </w:p>
    <w:p w:rsidR="001503CF" w:rsidRDefault="001503CF" w:rsidP="001503CF">
      <w:pPr>
        <w:ind w:firstLine="567"/>
        <w:rPr>
          <w:sz w:val="24"/>
        </w:rPr>
      </w:pPr>
      <w:r>
        <w:rPr>
          <w:sz w:val="24"/>
        </w:rPr>
        <w:t xml:space="preserve">El cambio metodológico que conlleva la práctica de la indagación guiada, requiere también una actualización profunda de la formación y la práctica docente. Es evidente que el conocimiento </w:t>
      </w:r>
      <w:proofErr w:type="gramStart"/>
      <w:r>
        <w:rPr>
          <w:sz w:val="24"/>
        </w:rPr>
        <w:t>del</w:t>
      </w:r>
      <w:proofErr w:type="gramEnd"/>
      <w:r>
        <w:rPr>
          <w:sz w:val="24"/>
        </w:rPr>
        <w:t xml:space="preserve"> contenido por parte del profesor es una condición necesaria. Sin embargo, no es suficiente para responder a los retos de la </w:t>
      </w:r>
      <w:proofErr w:type="gramStart"/>
      <w:r>
        <w:rPr>
          <w:sz w:val="24"/>
        </w:rPr>
        <w:t>alfabetización científica en el</w:t>
      </w:r>
      <w:proofErr w:type="gramEnd"/>
      <w:r>
        <w:rPr>
          <w:sz w:val="24"/>
        </w:rPr>
        <w:t xml:space="preserve"> presente. La práctica docente requiere del llamado conocimiento d</w:t>
      </w:r>
      <w:r w:rsidR="007A6B28">
        <w:rPr>
          <w:sz w:val="24"/>
        </w:rPr>
        <w:t>el contenido pedagógico (</w:t>
      </w:r>
      <w:r w:rsidR="007A6B28" w:rsidRPr="007870A4">
        <w:rPr>
          <w:color w:val="222222"/>
          <w:sz w:val="24"/>
          <w:shd w:val="clear" w:color="auto" w:fill="FFFFFF"/>
          <w:lang w:val="de-DE"/>
        </w:rPr>
        <w:t xml:space="preserve">Kunter, Klusmann, Baumert, Richter, Voss, </w:t>
      </w:r>
      <w:r w:rsidR="007A6B28">
        <w:rPr>
          <w:color w:val="222222"/>
          <w:sz w:val="24"/>
          <w:shd w:val="clear" w:color="auto" w:fill="FFFFFF"/>
          <w:lang w:val="de-DE"/>
        </w:rPr>
        <w:t>y</w:t>
      </w:r>
      <w:r w:rsidR="007A6B28" w:rsidRPr="007870A4">
        <w:rPr>
          <w:color w:val="222222"/>
          <w:sz w:val="24"/>
          <w:shd w:val="clear" w:color="auto" w:fill="FFFFFF"/>
          <w:lang w:val="de-DE"/>
        </w:rPr>
        <w:t xml:space="preserve"> Hachfeld, </w:t>
      </w:r>
      <w:r>
        <w:rPr>
          <w:sz w:val="24"/>
        </w:rPr>
        <w:t>2013) que debe ser enseñado para que los profesores puedan incorporar aspectos prácticos fundamentales en la enseñanza de la ciencia.</w:t>
      </w:r>
    </w:p>
    <w:p w:rsidR="001503CF" w:rsidRDefault="001503CF" w:rsidP="001503CF">
      <w:pPr>
        <w:ind w:firstLine="720"/>
        <w:rPr>
          <w:sz w:val="24"/>
        </w:rPr>
      </w:pPr>
      <w:r>
        <w:rPr>
          <w:sz w:val="24"/>
        </w:rPr>
        <w:t xml:space="preserve">Finalmente, es importante señalar que la realidad de las clases de ciencias en España, sigue todavía muy ligada a la instrucción directa de conceptos. El enfoque IBSE todavía no ha superado la fase de “moda educativa” de carácter teórico. Son muy pocos los docentes que enseñan ciencias bajo </w:t>
      </w:r>
      <w:proofErr w:type="gramStart"/>
      <w:r>
        <w:rPr>
          <w:sz w:val="24"/>
        </w:rPr>
        <w:t>este</w:t>
      </w:r>
      <w:proofErr w:type="gramEnd"/>
      <w:r>
        <w:rPr>
          <w:sz w:val="24"/>
        </w:rPr>
        <w:t xml:space="preserve"> enfoque (Couso, 2014). En </w:t>
      </w:r>
      <w:proofErr w:type="gramStart"/>
      <w:r>
        <w:rPr>
          <w:sz w:val="24"/>
        </w:rPr>
        <w:t>este</w:t>
      </w:r>
      <w:proofErr w:type="gramEnd"/>
      <w:r>
        <w:rPr>
          <w:sz w:val="24"/>
        </w:rPr>
        <w:t xml:space="preserve"> sentido, los resultados de este estudio podrían motivar a otros docentes de Educación Secundaria a iniciar el cambio metodológico, tan necesario, en la enseñanza de las ciencias. </w:t>
      </w:r>
    </w:p>
    <w:p w:rsidR="001503CF" w:rsidRDefault="001503CF" w:rsidP="005A231F">
      <w:pPr>
        <w:pStyle w:val="TextoNormal"/>
        <w:ind w:firstLine="0"/>
        <w:rPr>
          <w:b/>
        </w:rPr>
      </w:pPr>
    </w:p>
    <w:p w:rsidR="001503CF" w:rsidRDefault="001503CF" w:rsidP="001503CF">
      <w:pPr>
        <w:pStyle w:val="TextoNormal"/>
        <w:ind w:firstLine="0"/>
        <w:jc w:val="center"/>
        <w:rPr>
          <w:b/>
        </w:rPr>
      </w:pPr>
      <w:r>
        <w:rPr>
          <w:b/>
        </w:rPr>
        <w:t>Referencias</w:t>
      </w:r>
    </w:p>
    <w:p w:rsidR="001503CF" w:rsidRDefault="001503CF" w:rsidP="005A231F">
      <w:pPr>
        <w:pStyle w:val="TextoNormal"/>
        <w:ind w:firstLine="0"/>
        <w:rPr>
          <w:b/>
        </w:rPr>
      </w:pPr>
    </w:p>
    <w:p w:rsidR="001503CF" w:rsidRDefault="001503CF" w:rsidP="001503CF">
      <w:pPr>
        <w:ind w:left="567" w:hanging="567"/>
        <w:rPr>
          <w:color w:val="222222"/>
          <w:sz w:val="24"/>
          <w:shd w:val="clear" w:color="auto" w:fill="FFFFFF"/>
        </w:rPr>
      </w:pPr>
      <w:r w:rsidRPr="007870A4">
        <w:rPr>
          <w:color w:val="222222"/>
          <w:sz w:val="24"/>
          <w:shd w:val="clear" w:color="auto" w:fill="FFFFFF"/>
          <w:lang w:val="en-GB"/>
        </w:rPr>
        <w:t>Abrami, P. C., Bernard, R. M., Borokhovski, E., Wade,</w:t>
      </w:r>
      <w:r w:rsidR="00C65B7E">
        <w:rPr>
          <w:color w:val="222222"/>
          <w:sz w:val="24"/>
          <w:shd w:val="clear" w:color="auto" w:fill="FFFFFF"/>
          <w:lang w:val="en-GB"/>
        </w:rPr>
        <w:t xml:space="preserve"> A., Surkes, M. A., Tamim, R., y</w:t>
      </w:r>
      <w:r w:rsidRPr="007870A4">
        <w:rPr>
          <w:color w:val="222222"/>
          <w:sz w:val="24"/>
          <w:shd w:val="clear" w:color="auto" w:fill="FFFFFF"/>
          <w:lang w:val="en-GB"/>
        </w:rPr>
        <w:t xml:space="preserve"> Zhang, D. (2008). Instructional interventions affecting critical thinking skills and dispositions: A stage 1 </w:t>
      </w:r>
      <w:r w:rsidRPr="007870A4">
        <w:rPr>
          <w:color w:val="222222"/>
          <w:sz w:val="24"/>
          <w:shd w:val="clear" w:color="auto" w:fill="FFFFFF"/>
          <w:lang w:val="en-GB"/>
        </w:rPr>
        <w:lastRenderedPageBreak/>
        <w:t>meta-analysis. </w:t>
      </w:r>
      <w:r w:rsidRPr="00415F14">
        <w:rPr>
          <w:i/>
          <w:iCs/>
          <w:color w:val="222222"/>
          <w:sz w:val="24"/>
          <w:shd w:val="clear" w:color="auto" w:fill="FFFFFF"/>
        </w:rPr>
        <w:t>Review of Educational Research</w:t>
      </w:r>
      <w:r w:rsidRPr="00415F14">
        <w:rPr>
          <w:color w:val="222222"/>
          <w:sz w:val="24"/>
          <w:shd w:val="clear" w:color="auto" w:fill="FFFFFF"/>
        </w:rPr>
        <w:t>, </w:t>
      </w:r>
      <w:r w:rsidRPr="00415F14">
        <w:rPr>
          <w:i/>
          <w:iCs/>
          <w:color w:val="222222"/>
          <w:sz w:val="24"/>
          <w:shd w:val="clear" w:color="auto" w:fill="FFFFFF"/>
        </w:rPr>
        <w:t>78</w:t>
      </w:r>
      <w:r w:rsidRPr="00415F14">
        <w:rPr>
          <w:color w:val="222222"/>
          <w:sz w:val="24"/>
          <w:shd w:val="clear" w:color="auto" w:fill="FFFFFF"/>
        </w:rPr>
        <w:t>(4), 1102-1134.</w:t>
      </w:r>
      <w:r w:rsidR="00C65B7E">
        <w:rPr>
          <w:color w:val="222222"/>
          <w:sz w:val="24"/>
          <w:shd w:val="clear" w:color="auto" w:fill="FFFFFF"/>
        </w:rPr>
        <w:t xml:space="preserve"> </w:t>
      </w:r>
      <w:hyperlink r:id="rId15" w:history="1">
        <w:r w:rsidR="00982A50" w:rsidRPr="00982A50">
          <w:rPr>
            <w:rStyle w:val="Hipervnculo"/>
            <w:sz w:val="24"/>
            <w:shd w:val="clear" w:color="auto" w:fill="FFFFFF"/>
          </w:rPr>
          <w:t xml:space="preserve">DOI: </w:t>
        </w:r>
        <w:r w:rsidR="00C65B7E" w:rsidRPr="00982A50">
          <w:rPr>
            <w:rStyle w:val="Hipervnculo"/>
            <w:sz w:val="24"/>
            <w:shd w:val="clear" w:color="auto" w:fill="FFFFFF"/>
          </w:rPr>
          <w:t>10.3102/0034654308326084</w:t>
        </w:r>
      </w:hyperlink>
    </w:p>
    <w:p w:rsidR="001503CF" w:rsidRPr="00AB616B" w:rsidRDefault="001503CF" w:rsidP="001503CF">
      <w:pPr>
        <w:ind w:left="567" w:hanging="567"/>
        <w:rPr>
          <w:sz w:val="24"/>
        </w:rPr>
      </w:pPr>
      <w:r w:rsidRPr="00AB616B">
        <w:rPr>
          <w:color w:val="222222"/>
          <w:sz w:val="24"/>
          <w:shd w:val="clear" w:color="auto" w:fill="FFFFFF"/>
        </w:rPr>
        <w:t>Acevedo-Díaz, J. A. (2009). Enfoques explícitos versus implícitos en la enseñanza de la naturaleza de la ciencia. </w:t>
      </w:r>
      <w:r w:rsidRPr="00AB616B">
        <w:rPr>
          <w:i/>
          <w:iCs/>
          <w:color w:val="222222"/>
          <w:sz w:val="24"/>
          <w:shd w:val="clear" w:color="auto" w:fill="FFFFFF"/>
        </w:rPr>
        <w:t>Revista Eureka sobre Enseñanza y Divulgación de las Ciencias</w:t>
      </w:r>
      <w:r w:rsidRPr="00AB616B">
        <w:rPr>
          <w:color w:val="222222"/>
          <w:sz w:val="24"/>
          <w:shd w:val="clear" w:color="auto" w:fill="FFFFFF"/>
        </w:rPr>
        <w:t>, 355-386.</w:t>
      </w:r>
    </w:p>
    <w:p w:rsidR="004F3A38" w:rsidRPr="004F3A38" w:rsidRDefault="004F3A38" w:rsidP="001503CF">
      <w:pPr>
        <w:ind w:left="567" w:hanging="567"/>
        <w:rPr>
          <w:rFonts w:cs="Times New Roman"/>
          <w:color w:val="222222"/>
          <w:sz w:val="24"/>
          <w:shd w:val="clear" w:color="auto" w:fill="FFFFFF"/>
        </w:rPr>
      </w:pPr>
      <w:r w:rsidRPr="004F3A38">
        <w:rPr>
          <w:rFonts w:cs="Times New Roman"/>
          <w:color w:val="222222"/>
          <w:sz w:val="24"/>
          <w:shd w:val="clear" w:color="auto" w:fill="FFFFFF"/>
        </w:rPr>
        <w:t>Alfieri, L., Brooks, PJ, Aldrich, Nueva Jersey y Tenenbaum, HR (2011). ¿La instrucción basada en el descubrimiento mejora el aprendizaje? </w:t>
      </w:r>
      <w:r w:rsidRPr="004F3A38">
        <w:rPr>
          <w:rFonts w:cs="Times New Roman"/>
          <w:i/>
          <w:iCs/>
          <w:color w:val="222222"/>
          <w:sz w:val="24"/>
          <w:shd w:val="clear" w:color="auto" w:fill="FFFFFF"/>
        </w:rPr>
        <w:t xml:space="preserve">Revista de psicología </w:t>
      </w:r>
      <w:proofErr w:type="gramStart"/>
      <w:r w:rsidRPr="004F3A38">
        <w:rPr>
          <w:rFonts w:cs="Times New Roman"/>
          <w:i/>
          <w:iCs/>
          <w:color w:val="222222"/>
          <w:sz w:val="24"/>
          <w:shd w:val="clear" w:color="auto" w:fill="FFFFFF"/>
        </w:rPr>
        <w:t>educativa</w:t>
      </w:r>
      <w:r w:rsidRPr="004F3A38">
        <w:rPr>
          <w:rFonts w:cs="Times New Roman"/>
          <w:color w:val="222222"/>
          <w:sz w:val="24"/>
          <w:shd w:val="clear" w:color="auto" w:fill="FFFFFF"/>
        </w:rPr>
        <w:t> ,</w:t>
      </w:r>
      <w:proofErr w:type="gramEnd"/>
      <w:r w:rsidRPr="004F3A38">
        <w:rPr>
          <w:rFonts w:cs="Times New Roman"/>
          <w:color w:val="222222"/>
          <w:sz w:val="24"/>
          <w:shd w:val="clear" w:color="auto" w:fill="FFFFFF"/>
        </w:rPr>
        <w:t> </w:t>
      </w:r>
      <w:r w:rsidRPr="004F3A38">
        <w:rPr>
          <w:rFonts w:cs="Times New Roman"/>
          <w:i/>
          <w:iCs/>
          <w:color w:val="222222"/>
          <w:sz w:val="24"/>
          <w:shd w:val="clear" w:color="auto" w:fill="FFFFFF"/>
        </w:rPr>
        <w:t>103</w:t>
      </w:r>
      <w:r w:rsidRPr="004F3A38">
        <w:rPr>
          <w:rFonts w:cs="Times New Roman"/>
          <w:color w:val="222222"/>
          <w:sz w:val="24"/>
          <w:shd w:val="clear" w:color="auto" w:fill="FFFFFF"/>
        </w:rPr>
        <w:t> (1), 1.</w:t>
      </w:r>
      <w:r w:rsidRPr="004F3A38">
        <w:t xml:space="preserve"> </w:t>
      </w:r>
      <w:hyperlink r:id="rId16" w:history="1">
        <w:r w:rsidRPr="004F3A38">
          <w:rPr>
            <w:rStyle w:val="Hipervnculo"/>
            <w:sz w:val="24"/>
          </w:rPr>
          <w:t>DOI: 10.1037/a0021017.supp.</w:t>
        </w:r>
      </w:hyperlink>
    </w:p>
    <w:p w:rsidR="008D0207" w:rsidRDefault="008D0207" w:rsidP="001503CF">
      <w:pPr>
        <w:ind w:left="567" w:hanging="567"/>
        <w:rPr>
          <w:rFonts w:cs="Times New Roman"/>
          <w:color w:val="000000"/>
          <w:sz w:val="24"/>
          <w:shd w:val="clear" w:color="auto" w:fill="F9FBFB"/>
        </w:rPr>
      </w:pPr>
      <w:r w:rsidRPr="008D0207">
        <w:rPr>
          <w:color w:val="222222"/>
          <w:sz w:val="24"/>
          <w:shd w:val="clear" w:color="auto" w:fill="FFFFFF"/>
        </w:rPr>
        <w:t>Aguilera Morales, D</w:t>
      </w:r>
      <w:r>
        <w:rPr>
          <w:color w:val="222222"/>
          <w:sz w:val="24"/>
          <w:shd w:val="clear" w:color="auto" w:fill="FFFFFF"/>
        </w:rPr>
        <w:t xml:space="preserve">., Martín Páez, T., </w:t>
      </w:r>
      <w:r w:rsidRPr="008D0207">
        <w:rPr>
          <w:color w:val="222222"/>
          <w:sz w:val="24"/>
          <w:shd w:val="clear" w:color="auto" w:fill="FFFFFF"/>
        </w:rPr>
        <w:t>Rodríguez, V</w:t>
      </w:r>
      <w:r>
        <w:rPr>
          <w:color w:val="222222"/>
          <w:sz w:val="24"/>
          <w:shd w:val="clear" w:color="auto" w:fill="FFFFFF"/>
        </w:rPr>
        <w:t>.,</w:t>
      </w:r>
      <w:r w:rsidRPr="008D0207">
        <w:rPr>
          <w:color w:val="222222"/>
          <w:sz w:val="24"/>
          <w:shd w:val="clear" w:color="auto" w:fill="FFFFFF"/>
        </w:rPr>
        <w:t xml:space="preserve"> Ruiz Delgado, Á</w:t>
      </w:r>
      <w:r>
        <w:rPr>
          <w:color w:val="222222"/>
          <w:sz w:val="24"/>
          <w:shd w:val="clear" w:color="auto" w:fill="FFFFFF"/>
        </w:rPr>
        <w:t>.</w:t>
      </w:r>
      <w:proofErr w:type="gramStart"/>
      <w:r>
        <w:rPr>
          <w:color w:val="222222"/>
          <w:sz w:val="24"/>
          <w:shd w:val="clear" w:color="auto" w:fill="FFFFFF"/>
        </w:rPr>
        <w:t>,</w:t>
      </w:r>
      <w:r w:rsidR="009B588A">
        <w:rPr>
          <w:color w:val="222222"/>
          <w:sz w:val="24"/>
          <w:shd w:val="clear" w:color="auto" w:fill="FFFFFF"/>
        </w:rPr>
        <w:t>Williams</w:t>
      </w:r>
      <w:proofErr w:type="gramEnd"/>
      <w:r w:rsidR="009B588A">
        <w:rPr>
          <w:color w:val="222222"/>
          <w:sz w:val="24"/>
          <w:shd w:val="clear" w:color="auto" w:fill="FFFFFF"/>
        </w:rPr>
        <w:t xml:space="preserve">, L., </w:t>
      </w:r>
      <w:r w:rsidRPr="008D0207">
        <w:rPr>
          <w:color w:val="222222"/>
          <w:sz w:val="24"/>
          <w:shd w:val="clear" w:color="auto" w:fill="FFFFFF"/>
        </w:rPr>
        <w:t>Vílchez-González, J</w:t>
      </w:r>
      <w:r w:rsidR="009B588A">
        <w:rPr>
          <w:color w:val="222222"/>
          <w:sz w:val="24"/>
          <w:shd w:val="clear" w:color="auto" w:fill="FFFFFF"/>
        </w:rPr>
        <w:t>.</w:t>
      </w:r>
      <w:r w:rsidRPr="008D0207">
        <w:rPr>
          <w:color w:val="222222"/>
          <w:sz w:val="24"/>
          <w:shd w:val="clear" w:color="auto" w:fill="FFFFFF"/>
        </w:rPr>
        <w:t>M</w:t>
      </w:r>
      <w:r w:rsidR="009B588A">
        <w:rPr>
          <w:color w:val="222222"/>
          <w:sz w:val="24"/>
          <w:shd w:val="clear" w:color="auto" w:fill="FFFFFF"/>
        </w:rPr>
        <w:t xml:space="preserve">. y </w:t>
      </w:r>
      <w:r w:rsidRPr="008D0207">
        <w:rPr>
          <w:color w:val="222222"/>
          <w:sz w:val="24"/>
          <w:shd w:val="clear" w:color="auto" w:fill="FFFFFF"/>
        </w:rPr>
        <w:t xml:space="preserve">Perales, F. (2018). La enseñanza de las ciencias basada en indagación. Una revisión sistemática de la producción española. </w:t>
      </w:r>
      <w:r w:rsidRPr="008D0207">
        <w:rPr>
          <w:i/>
          <w:color w:val="222222"/>
          <w:sz w:val="24"/>
          <w:shd w:val="clear" w:color="auto" w:fill="FFFFFF"/>
        </w:rPr>
        <w:t>Revista de Educación</w:t>
      </w:r>
      <w:r w:rsidR="009B588A">
        <w:rPr>
          <w:color w:val="222222"/>
          <w:sz w:val="24"/>
          <w:shd w:val="clear" w:color="auto" w:fill="FFFFFF"/>
        </w:rPr>
        <w:t>,</w:t>
      </w:r>
      <w:r w:rsidR="009B588A" w:rsidRPr="009B588A">
        <w:rPr>
          <w:i/>
          <w:color w:val="222222"/>
          <w:sz w:val="24"/>
          <w:shd w:val="clear" w:color="auto" w:fill="FFFFFF"/>
        </w:rPr>
        <w:t xml:space="preserve"> </w:t>
      </w:r>
      <w:r w:rsidR="009B588A" w:rsidRPr="009B588A">
        <w:rPr>
          <w:rFonts w:cs="Times New Roman"/>
          <w:i/>
          <w:color w:val="222222"/>
          <w:sz w:val="24"/>
          <w:shd w:val="clear" w:color="auto" w:fill="FFFFFF"/>
        </w:rPr>
        <w:t>381</w:t>
      </w:r>
      <w:r w:rsidR="009B588A" w:rsidRPr="009B588A">
        <w:rPr>
          <w:rFonts w:cs="Times New Roman"/>
          <w:color w:val="222222"/>
          <w:sz w:val="24"/>
          <w:shd w:val="clear" w:color="auto" w:fill="FFFFFF"/>
        </w:rPr>
        <w:t xml:space="preserve">, </w:t>
      </w:r>
      <w:r w:rsidR="009B588A" w:rsidRPr="009B588A">
        <w:rPr>
          <w:rFonts w:cs="Times New Roman"/>
          <w:color w:val="000000"/>
          <w:sz w:val="24"/>
          <w:shd w:val="clear" w:color="auto" w:fill="F9FBFB"/>
        </w:rPr>
        <w:t>259-274</w:t>
      </w:r>
      <w:r w:rsidRPr="009B588A">
        <w:rPr>
          <w:rFonts w:cs="Times New Roman"/>
          <w:color w:val="222222"/>
          <w:sz w:val="24"/>
          <w:shd w:val="clear" w:color="auto" w:fill="FFFFFF"/>
        </w:rPr>
        <w:t>.</w:t>
      </w:r>
      <w:r w:rsidR="009B588A">
        <w:rPr>
          <w:rFonts w:cs="Times New Roman"/>
          <w:color w:val="222222"/>
          <w:sz w:val="24"/>
          <w:shd w:val="clear" w:color="auto" w:fill="FFFFFF"/>
        </w:rPr>
        <w:t xml:space="preserve"> </w:t>
      </w:r>
      <w:hyperlink r:id="rId17" w:history="1">
        <w:r w:rsidR="009B588A" w:rsidRPr="009B588A">
          <w:rPr>
            <w:rStyle w:val="Hipervnculo"/>
            <w:rFonts w:cs="Times New Roman"/>
            <w:sz w:val="24"/>
            <w:shd w:val="clear" w:color="auto" w:fill="FFFFFF"/>
          </w:rPr>
          <w:t xml:space="preserve">DOI: </w:t>
        </w:r>
        <w:r w:rsidR="009B588A" w:rsidRPr="009B588A">
          <w:rPr>
            <w:rStyle w:val="Hipervnculo"/>
            <w:rFonts w:cs="Times New Roman"/>
            <w:sz w:val="24"/>
            <w:shd w:val="clear" w:color="auto" w:fill="F9FBFB"/>
          </w:rPr>
          <w:t>10.4438/1988-592X-RE-2017-381-388</w:t>
        </w:r>
      </w:hyperlink>
    </w:p>
    <w:p w:rsidR="001503CF" w:rsidRDefault="001503CF" w:rsidP="00912774">
      <w:pPr>
        <w:ind w:left="567" w:hanging="567"/>
        <w:rPr>
          <w:sz w:val="24"/>
        </w:rPr>
      </w:pPr>
      <w:r w:rsidRPr="00C2623C">
        <w:rPr>
          <w:color w:val="222222"/>
          <w:sz w:val="24"/>
          <w:shd w:val="clear" w:color="auto" w:fill="FFFFFF"/>
        </w:rPr>
        <w:t>Álvarez Morán, S., Carleos Artime,</w:t>
      </w:r>
      <w:r w:rsidR="00982A50">
        <w:rPr>
          <w:color w:val="222222"/>
          <w:sz w:val="24"/>
          <w:shd w:val="clear" w:color="auto" w:fill="FFFFFF"/>
        </w:rPr>
        <w:t xml:space="preserve"> C. E., Corral Blanco, N. O. y </w:t>
      </w:r>
      <w:r w:rsidRPr="00C2623C">
        <w:rPr>
          <w:color w:val="222222"/>
          <w:sz w:val="24"/>
          <w:shd w:val="clear" w:color="auto" w:fill="FFFFFF"/>
        </w:rPr>
        <w:t>Prieto Rodríguez, E. (2018). Metodología docente y rendimiento en PISA 2015: Análisis crítico. </w:t>
      </w:r>
      <w:r w:rsidRPr="00C2623C">
        <w:rPr>
          <w:i/>
          <w:iCs/>
          <w:color w:val="222222"/>
          <w:sz w:val="24"/>
          <w:shd w:val="clear" w:color="auto" w:fill="FFFFFF"/>
        </w:rPr>
        <w:t>Revista de Educación</w:t>
      </w:r>
      <w:r w:rsidR="009B588A">
        <w:rPr>
          <w:color w:val="222222"/>
          <w:sz w:val="24"/>
          <w:shd w:val="clear" w:color="auto" w:fill="FFFFFF"/>
        </w:rPr>
        <w:t>, 379, 85-113.</w:t>
      </w:r>
      <w:r>
        <w:rPr>
          <w:color w:val="222222"/>
          <w:sz w:val="24"/>
          <w:shd w:val="clear" w:color="auto" w:fill="FFFFFF"/>
        </w:rPr>
        <w:t xml:space="preserve"> </w:t>
      </w:r>
      <w:hyperlink r:id="rId18" w:history="1">
        <w:r w:rsidR="009B588A">
          <w:rPr>
            <w:rStyle w:val="Hipervnculo"/>
            <w:sz w:val="24"/>
            <w:shd w:val="clear" w:color="auto" w:fill="FFFFFF"/>
          </w:rPr>
          <w:t>DOI</w:t>
        </w:r>
        <w:r w:rsidR="008A3C23">
          <w:rPr>
            <w:rStyle w:val="Hipervnculo"/>
            <w:sz w:val="24"/>
            <w:shd w:val="clear" w:color="auto" w:fill="FFFFFF"/>
          </w:rPr>
          <w:t xml:space="preserve">: </w:t>
        </w:r>
        <w:r w:rsidR="009B588A" w:rsidRPr="00017BCB">
          <w:rPr>
            <w:rStyle w:val="Hipervnculo"/>
            <w:sz w:val="24"/>
          </w:rPr>
          <w:t>10.4438/1988-592X-RE-2017-379-370</w:t>
        </w:r>
      </w:hyperlink>
      <w:r w:rsidRPr="00F55616">
        <w:rPr>
          <w:sz w:val="24"/>
        </w:rPr>
        <w:t>.</w:t>
      </w:r>
    </w:p>
    <w:p w:rsidR="001503CF" w:rsidRPr="00982A50" w:rsidRDefault="001503CF" w:rsidP="00912774">
      <w:pPr>
        <w:ind w:left="567" w:hanging="567"/>
        <w:rPr>
          <w:sz w:val="24"/>
        </w:rPr>
      </w:pPr>
      <w:r>
        <w:rPr>
          <w:color w:val="222222"/>
          <w:sz w:val="24"/>
          <w:shd w:val="clear" w:color="auto" w:fill="FFFFFF"/>
        </w:rPr>
        <w:t>A</w:t>
      </w:r>
      <w:r w:rsidR="00982A50">
        <w:rPr>
          <w:color w:val="222222"/>
          <w:sz w:val="24"/>
          <w:shd w:val="clear" w:color="auto" w:fill="FFFFFF"/>
        </w:rPr>
        <w:t>guilar, M. y</w:t>
      </w:r>
      <w:r w:rsidRPr="00FE501D">
        <w:rPr>
          <w:color w:val="222222"/>
          <w:sz w:val="24"/>
          <w:shd w:val="clear" w:color="auto" w:fill="FFFFFF"/>
        </w:rPr>
        <w:t xml:space="preserve"> Tapia, A. (2008). </w:t>
      </w:r>
      <w:r w:rsidRPr="00982A50">
        <w:rPr>
          <w:i/>
          <w:color w:val="222222"/>
          <w:sz w:val="24"/>
          <w:shd w:val="clear" w:color="auto" w:fill="FFFFFF"/>
        </w:rPr>
        <w:t>PISA en el Aula: Ciencias</w:t>
      </w:r>
      <w:r w:rsidRPr="00FE501D">
        <w:rPr>
          <w:color w:val="222222"/>
          <w:sz w:val="24"/>
          <w:shd w:val="clear" w:color="auto" w:fill="FFFFFF"/>
        </w:rPr>
        <w:t>. </w:t>
      </w:r>
      <w:r w:rsidRPr="00982A50">
        <w:rPr>
          <w:iCs/>
          <w:color w:val="222222"/>
          <w:sz w:val="24"/>
          <w:shd w:val="clear" w:color="auto" w:fill="FFFFFF"/>
        </w:rPr>
        <w:t>México: Instituto Nacional para la Evaluación</w:t>
      </w:r>
      <w:r w:rsidRPr="00982A50">
        <w:rPr>
          <w:color w:val="222222"/>
          <w:sz w:val="24"/>
          <w:shd w:val="clear" w:color="auto" w:fill="FFFFFF"/>
        </w:rPr>
        <w:t>.</w:t>
      </w:r>
    </w:p>
    <w:p w:rsidR="001503CF" w:rsidRDefault="001503CF" w:rsidP="00912774">
      <w:pPr>
        <w:ind w:left="567" w:hanging="567"/>
        <w:rPr>
          <w:sz w:val="24"/>
          <w:lang w:val="en-GB"/>
        </w:rPr>
      </w:pPr>
      <w:r w:rsidRPr="007870A4">
        <w:rPr>
          <w:sz w:val="24"/>
          <w:lang w:val="en-GB"/>
        </w:rPr>
        <w:t xml:space="preserve">Bevins, S. y Price, G. (2016). Reconceptualising inquiry in science education. </w:t>
      </w:r>
      <w:r w:rsidRPr="007870A4">
        <w:rPr>
          <w:i/>
          <w:sz w:val="24"/>
          <w:lang w:val="en-GB"/>
        </w:rPr>
        <w:t>International Journal of Science Education</w:t>
      </w:r>
      <w:r w:rsidRPr="007870A4">
        <w:rPr>
          <w:sz w:val="24"/>
          <w:lang w:val="en-GB"/>
        </w:rPr>
        <w:t xml:space="preserve">, </w:t>
      </w:r>
      <w:r w:rsidRPr="00982A50">
        <w:rPr>
          <w:i/>
          <w:sz w:val="24"/>
          <w:lang w:val="en-GB"/>
        </w:rPr>
        <w:t>38</w:t>
      </w:r>
      <w:r w:rsidRPr="007870A4">
        <w:rPr>
          <w:sz w:val="24"/>
          <w:lang w:val="en-GB"/>
        </w:rPr>
        <w:t xml:space="preserve"> (1), 17-29.</w:t>
      </w:r>
      <w:r w:rsidR="00982A50">
        <w:rPr>
          <w:sz w:val="24"/>
          <w:lang w:val="en-GB"/>
        </w:rPr>
        <w:t xml:space="preserve"> </w:t>
      </w:r>
      <w:hyperlink r:id="rId19" w:history="1">
        <w:r w:rsidR="00982A50" w:rsidRPr="00982A50">
          <w:rPr>
            <w:rStyle w:val="Hipervnculo"/>
            <w:sz w:val="24"/>
            <w:lang w:val="en-GB"/>
          </w:rPr>
          <w:t>DOI: 10.1080/09500693.2015.1124300.</w:t>
        </w:r>
      </w:hyperlink>
    </w:p>
    <w:p w:rsidR="006813A1" w:rsidRPr="006813A1" w:rsidRDefault="006813A1" w:rsidP="00375D4A">
      <w:pPr>
        <w:ind w:left="567" w:hanging="567"/>
        <w:rPr>
          <w:rFonts w:cs="Times New Roman"/>
          <w:color w:val="333333"/>
          <w:sz w:val="24"/>
          <w:shd w:val="clear" w:color="auto" w:fill="FFFFFF"/>
        </w:rPr>
      </w:pPr>
      <w:r w:rsidRPr="006813A1">
        <w:rPr>
          <w:rFonts w:cs="Times New Roman"/>
          <w:color w:val="232323"/>
          <w:sz w:val="24"/>
          <w:shd w:val="clear" w:color="auto" w:fill="FFFFFF"/>
        </w:rPr>
        <w:t>Cohen, J. (1988). </w:t>
      </w:r>
      <w:r w:rsidRPr="006813A1">
        <w:rPr>
          <w:rFonts w:cs="Times New Roman"/>
          <w:i/>
          <w:color w:val="232323"/>
          <w:sz w:val="24"/>
          <w:shd w:val="clear" w:color="auto" w:fill="FFFFFF"/>
        </w:rPr>
        <w:t xml:space="preserve">Análisis de poder estadístico para las ciencias </w:t>
      </w:r>
      <w:proofErr w:type="gramStart"/>
      <w:r w:rsidRPr="006813A1">
        <w:rPr>
          <w:rFonts w:cs="Times New Roman"/>
          <w:i/>
          <w:color w:val="232323"/>
          <w:sz w:val="24"/>
          <w:shd w:val="clear" w:color="auto" w:fill="FFFFFF"/>
        </w:rPr>
        <w:t>del</w:t>
      </w:r>
      <w:proofErr w:type="gramEnd"/>
      <w:r w:rsidRPr="006813A1">
        <w:rPr>
          <w:rFonts w:cs="Times New Roman"/>
          <w:i/>
          <w:color w:val="232323"/>
          <w:sz w:val="24"/>
          <w:shd w:val="clear" w:color="auto" w:fill="FFFFFF"/>
        </w:rPr>
        <w:t xml:space="preserve"> comportamiento</w:t>
      </w:r>
      <w:r w:rsidRPr="006813A1">
        <w:rPr>
          <w:rFonts w:cs="Times New Roman"/>
          <w:color w:val="232323"/>
          <w:sz w:val="24"/>
          <w:shd w:val="clear" w:color="auto" w:fill="FFFFFF"/>
        </w:rPr>
        <w:t xml:space="preserve"> (2ª ed.). Hillsdale, Nueva Jersey: Lawrence Erlbaum Associates, Editores.</w:t>
      </w:r>
    </w:p>
    <w:p w:rsidR="006813A1" w:rsidRPr="006813A1" w:rsidRDefault="006813A1" w:rsidP="006813A1">
      <w:pPr>
        <w:ind w:left="567" w:hanging="567"/>
        <w:rPr>
          <w:sz w:val="24"/>
        </w:rPr>
      </w:pPr>
      <w:r w:rsidRPr="006813A1">
        <w:rPr>
          <w:sz w:val="24"/>
        </w:rPr>
        <w:t xml:space="preserve">Couso D. (2009). Y después de PISA, ¿qué? Propuestas para desarrollar la competencia científica en el aula de ciencia de profesores en ejercicio y futuros profesores de ciencias. </w:t>
      </w:r>
      <w:r w:rsidRPr="006813A1">
        <w:rPr>
          <w:i/>
          <w:sz w:val="24"/>
        </w:rPr>
        <w:t>Enseñanza de las Ciencias, extra</w:t>
      </w:r>
      <w:r w:rsidRPr="006813A1">
        <w:rPr>
          <w:sz w:val="24"/>
        </w:rPr>
        <w:t>, VIII Congreso Internacional sobre investigación e</w:t>
      </w:r>
      <w:r>
        <w:rPr>
          <w:sz w:val="24"/>
        </w:rPr>
        <w:t>n Didáctica de las Ciencias, 3547-3550.</w:t>
      </w:r>
    </w:p>
    <w:p w:rsidR="006813A1" w:rsidRDefault="006813A1" w:rsidP="00AB66C3">
      <w:pPr>
        <w:ind w:left="567" w:hanging="567"/>
        <w:rPr>
          <w:sz w:val="24"/>
        </w:rPr>
      </w:pPr>
      <w:r w:rsidRPr="006813A1">
        <w:rPr>
          <w:sz w:val="24"/>
        </w:rPr>
        <w:t xml:space="preserve">Couso, D. (2014). </w:t>
      </w:r>
      <w:r w:rsidRPr="006813A1">
        <w:rPr>
          <w:i/>
          <w:sz w:val="24"/>
        </w:rPr>
        <w:t>De la moda de “aprender indagando” a la indagación para modelizar: una reflexión crítica</w:t>
      </w:r>
      <w:r w:rsidRPr="006813A1">
        <w:rPr>
          <w:sz w:val="24"/>
        </w:rPr>
        <w:t>. Ponencia a los XXVI Encuentros de Didáctica de las Ciencias Experimentales, Huelva</w:t>
      </w:r>
      <w:r>
        <w:rPr>
          <w:sz w:val="24"/>
        </w:rPr>
        <w:t>.</w:t>
      </w:r>
    </w:p>
    <w:p w:rsidR="001503CF" w:rsidRPr="007870A4" w:rsidRDefault="008A3C23" w:rsidP="00AB66C3">
      <w:pPr>
        <w:ind w:left="567" w:hanging="567"/>
        <w:rPr>
          <w:color w:val="222222"/>
          <w:sz w:val="24"/>
          <w:shd w:val="clear" w:color="auto" w:fill="FFFFFF"/>
          <w:lang w:val="en-GB"/>
        </w:rPr>
      </w:pPr>
      <w:r>
        <w:rPr>
          <w:color w:val="222222"/>
          <w:sz w:val="24"/>
          <w:shd w:val="clear" w:color="auto" w:fill="FFFFFF"/>
          <w:lang w:val="de-DE"/>
        </w:rPr>
        <w:t>Ebel, R. L., y</w:t>
      </w:r>
      <w:r w:rsidR="001503CF" w:rsidRPr="007870A4">
        <w:rPr>
          <w:color w:val="222222"/>
          <w:sz w:val="24"/>
          <w:shd w:val="clear" w:color="auto" w:fill="FFFFFF"/>
          <w:lang w:val="de-DE"/>
        </w:rPr>
        <w:t xml:space="preserve"> Frisbie, D. A. (1986). </w:t>
      </w:r>
      <w:r w:rsidR="001503CF" w:rsidRPr="007870A4">
        <w:rPr>
          <w:i/>
          <w:color w:val="222222"/>
          <w:sz w:val="24"/>
          <w:shd w:val="clear" w:color="auto" w:fill="FFFFFF"/>
          <w:lang w:val="en-GB"/>
        </w:rPr>
        <w:t>Essentials of</w:t>
      </w:r>
      <w:r w:rsidR="001503CF" w:rsidRPr="007870A4">
        <w:rPr>
          <w:color w:val="222222"/>
          <w:sz w:val="24"/>
          <w:shd w:val="clear" w:color="auto" w:fill="FFFFFF"/>
          <w:lang w:val="en-GB"/>
        </w:rPr>
        <w:t xml:space="preserve"> </w:t>
      </w:r>
      <w:r w:rsidR="001503CF" w:rsidRPr="007870A4">
        <w:rPr>
          <w:i/>
          <w:iCs/>
          <w:color w:val="222222"/>
          <w:sz w:val="24"/>
          <w:shd w:val="clear" w:color="auto" w:fill="FFFFFF"/>
          <w:lang w:val="en-GB"/>
        </w:rPr>
        <w:t>Educational Measurement</w:t>
      </w:r>
      <w:r w:rsidR="001503CF" w:rsidRPr="007870A4">
        <w:rPr>
          <w:color w:val="222222"/>
          <w:sz w:val="24"/>
          <w:shd w:val="clear" w:color="auto" w:fill="FFFFFF"/>
          <w:lang w:val="en-GB"/>
        </w:rPr>
        <w:t>.</w:t>
      </w:r>
      <w:r>
        <w:rPr>
          <w:color w:val="222222"/>
          <w:sz w:val="24"/>
          <w:shd w:val="clear" w:color="auto" w:fill="FFFFFF"/>
          <w:lang w:val="en-GB"/>
        </w:rPr>
        <w:t xml:space="preserve"> New Jersey: Prentice-Hall.</w:t>
      </w:r>
    </w:p>
    <w:p w:rsidR="002D7945" w:rsidRPr="00024E01" w:rsidRDefault="002D7945" w:rsidP="00912774">
      <w:pPr>
        <w:ind w:left="567" w:hanging="567"/>
        <w:rPr>
          <w:rFonts w:cs="Times New Roman"/>
          <w:sz w:val="24"/>
        </w:rPr>
      </w:pPr>
      <w:r w:rsidRPr="00024E01">
        <w:rPr>
          <w:rFonts w:cs="Times New Roman"/>
          <w:sz w:val="24"/>
          <w:shd w:val="clear" w:color="auto" w:fill="FFFFFF"/>
        </w:rPr>
        <w:t>Franco Mariscal, A. J., Blanco Lóp</w:t>
      </w:r>
      <w:r w:rsidR="005C2A5A" w:rsidRPr="00024E01">
        <w:rPr>
          <w:rFonts w:cs="Times New Roman"/>
          <w:sz w:val="24"/>
          <w:shd w:val="clear" w:color="auto" w:fill="FFFFFF"/>
        </w:rPr>
        <w:t>ez, Á. y España Ramos, E. (2017</w:t>
      </w:r>
      <w:r w:rsidRPr="00024E01">
        <w:rPr>
          <w:rFonts w:cs="Times New Roman"/>
          <w:sz w:val="24"/>
          <w:shd w:val="clear" w:color="auto" w:fill="FFFFFF"/>
        </w:rPr>
        <w:t xml:space="preserve">). Diseño de actividades para el desarrollo de competencias científicas. Utilización </w:t>
      </w:r>
      <w:proofErr w:type="gramStart"/>
      <w:r w:rsidRPr="00024E01">
        <w:rPr>
          <w:rFonts w:cs="Times New Roman"/>
          <w:sz w:val="24"/>
          <w:shd w:val="clear" w:color="auto" w:fill="FFFFFF"/>
        </w:rPr>
        <w:t>del marco</w:t>
      </w:r>
      <w:proofErr w:type="gramEnd"/>
      <w:r w:rsidRPr="00024E01">
        <w:rPr>
          <w:rFonts w:cs="Times New Roman"/>
          <w:sz w:val="24"/>
          <w:shd w:val="clear" w:color="auto" w:fill="FFFFFF"/>
        </w:rPr>
        <w:t xml:space="preserve"> de PISA en un contexto relacionado con la salud. </w:t>
      </w:r>
      <w:r w:rsidRPr="00024E01">
        <w:rPr>
          <w:rFonts w:cs="Times New Roman"/>
          <w:i/>
          <w:iCs/>
          <w:sz w:val="24"/>
          <w:shd w:val="clear" w:color="auto" w:fill="FFFFFF"/>
        </w:rPr>
        <w:t>Revista Eureka sobre Enseñanza y Divulgación de las Ciencias</w:t>
      </w:r>
      <w:r w:rsidRPr="00024E01">
        <w:rPr>
          <w:rFonts w:cs="Times New Roman"/>
          <w:sz w:val="24"/>
          <w:shd w:val="clear" w:color="auto" w:fill="FFFFFF"/>
        </w:rPr>
        <w:t>, </w:t>
      </w:r>
      <w:r w:rsidRPr="00024E01">
        <w:rPr>
          <w:rFonts w:cs="Times New Roman"/>
          <w:i/>
          <w:iCs/>
          <w:sz w:val="24"/>
          <w:shd w:val="clear" w:color="auto" w:fill="FFFFFF"/>
        </w:rPr>
        <w:t>14</w:t>
      </w:r>
      <w:r w:rsidRPr="00024E01">
        <w:rPr>
          <w:rFonts w:cs="Times New Roman"/>
          <w:sz w:val="24"/>
          <w:shd w:val="clear" w:color="auto" w:fill="FFFFFF"/>
        </w:rPr>
        <w:t>(1), 38-53.</w:t>
      </w:r>
      <w:r w:rsidR="005C2A5A" w:rsidRPr="00024E01">
        <w:rPr>
          <w:rFonts w:cs="Times New Roman"/>
          <w:sz w:val="24"/>
          <w:shd w:val="clear" w:color="auto" w:fill="FFFFFF"/>
        </w:rPr>
        <w:t xml:space="preserve"> </w:t>
      </w:r>
      <w:hyperlink r:id="rId20" w:history="1">
        <w:r w:rsidR="005C2A5A" w:rsidRPr="00024E01">
          <w:rPr>
            <w:rStyle w:val="Hipervnculo"/>
            <w:rFonts w:cs="Times New Roman"/>
            <w:sz w:val="24"/>
            <w:shd w:val="clear" w:color="auto" w:fill="FFFFFF"/>
          </w:rPr>
          <w:t>DOI: 10498/18845</w:t>
        </w:r>
      </w:hyperlink>
      <w:r w:rsidR="005C2A5A" w:rsidRPr="00024E01">
        <w:rPr>
          <w:rFonts w:cs="Times New Roman"/>
          <w:sz w:val="24"/>
          <w:shd w:val="clear" w:color="auto" w:fill="FFFFFF"/>
        </w:rPr>
        <w:t>.</w:t>
      </w:r>
    </w:p>
    <w:p w:rsidR="001503CF" w:rsidRPr="00CB5F37" w:rsidRDefault="001503CF" w:rsidP="00912774">
      <w:pPr>
        <w:ind w:left="567" w:hanging="567"/>
        <w:rPr>
          <w:sz w:val="24"/>
          <w:lang w:val="en-GB"/>
        </w:rPr>
      </w:pPr>
      <w:r w:rsidRPr="00CB5F37">
        <w:rPr>
          <w:color w:val="222222"/>
          <w:sz w:val="24"/>
          <w:shd w:val="clear" w:color="auto" w:fill="FFFFFF"/>
        </w:rPr>
        <w:t xml:space="preserve">Furtak, EM, Seidel, T., Iverson, H. y Briggs, DC (2012). Estudios experimentales y cuasiexperimentales de la enseñanza de las ciencias basada en la indagación: </w:t>
      </w:r>
      <w:proofErr w:type="gramStart"/>
      <w:r w:rsidRPr="00CB5F37">
        <w:rPr>
          <w:color w:val="222222"/>
          <w:sz w:val="24"/>
          <w:shd w:val="clear" w:color="auto" w:fill="FFFFFF"/>
        </w:rPr>
        <w:t>un</w:t>
      </w:r>
      <w:proofErr w:type="gramEnd"/>
      <w:r w:rsidRPr="00CB5F37">
        <w:rPr>
          <w:color w:val="222222"/>
          <w:sz w:val="24"/>
          <w:shd w:val="clear" w:color="auto" w:fill="FFFFFF"/>
        </w:rPr>
        <w:t xml:space="preserve"> metaanálisis. </w:t>
      </w:r>
      <w:r w:rsidRPr="00CB5F37">
        <w:rPr>
          <w:i/>
          <w:iCs/>
          <w:color w:val="222222"/>
          <w:sz w:val="24"/>
          <w:shd w:val="clear" w:color="auto" w:fill="FFFFFF"/>
        </w:rPr>
        <w:t xml:space="preserve">Revisión de la investigación </w:t>
      </w:r>
      <w:proofErr w:type="gramStart"/>
      <w:r w:rsidRPr="00CB5F37">
        <w:rPr>
          <w:i/>
          <w:iCs/>
          <w:color w:val="222222"/>
          <w:sz w:val="24"/>
          <w:shd w:val="clear" w:color="auto" w:fill="FFFFFF"/>
        </w:rPr>
        <w:t>educativa</w:t>
      </w:r>
      <w:r w:rsidRPr="00CB5F37">
        <w:rPr>
          <w:color w:val="222222"/>
          <w:sz w:val="24"/>
          <w:shd w:val="clear" w:color="auto" w:fill="FFFFFF"/>
        </w:rPr>
        <w:t> ,</w:t>
      </w:r>
      <w:proofErr w:type="gramEnd"/>
      <w:r w:rsidRPr="00CB5F37">
        <w:rPr>
          <w:color w:val="222222"/>
          <w:sz w:val="24"/>
          <w:shd w:val="clear" w:color="auto" w:fill="FFFFFF"/>
        </w:rPr>
        <w:t> </w:t>
      </w:r>
      <w:r w:rsidRPr="00CB5F37">
        <w:rPr>
          <w:i/>
          <w:iCs/>
          <w:color w:val="222222"/>
          <w:sz w:val="24"/>
          <w:shd w:val="clear" w:color="auto" w:fill="FFFFFF"/>
        </w:rPr>
        <w:t>82</w:t>
      </w:r>
      <w:r w:rsidRPr="00CB5F37">
        <w:rPr>
          <w:color w:val="222222"/>
          <w:sz w:val="24"/>
          <w:shd w:val="clear" w:color="auto" w:fill="FFFFFF"/>
        </w:rPr>
        <w:t> (3), 300-329.</w:t>
      </w:r>
      <w:r w:rsidR="005417F2">
        <w:rPr>
          <w:color w:val="222222"/>
          <w:sz w:val="24"/>
          <w:shd w:val="clear" w:color="auto" w:fill="FFFFFF"/>
        </w:rPr>
        <w:t xml:space="preserve"> </w:t>
      </w:r>
      <w:hyperlink r:id="rId21" w:history="1">
        <w:r w:rsidR="005417F2" w:rsidRPr="005417F2">
          <w:rPr>
            <w:rStyle w:val="Hipervnculo"/>
            <w:rFonts w:cs="Times New Roman"/>
            <w:sz w:val="24"/>
            <w:shd w:val="clear" w:color="auto" w:fill="FFFFFF"/>
          </w:rPr>
          <w:t>DOI</w:t>
        </w:r>
        <w:proofErr w:type="gramStart"/>
        <w:r w:rsidR="005417F2" w:rsidRPr="005417F2">
          <w:rPr>
            <w:rStyle w:val="Hipervnculo"/>
            <w:rFonts w:cs="Times New Roman"/>
            <w:sz w:val="24"/>
            <w:shd w:val="clear" w:color="auto" w:fill="FFFFFF"/>
          </w:rPr>
          <w:t>:10.3102</w:t>
        </w:r>
        <w:proofErr w:type="gramEnd"/>
        <w:r w:rsidR="005417F2" w:rsidRPr="005417F2">
          <w:rPr>
            <w:rStyle w:val="Hipervnculo"/>
            <w:rFonts w:cs="Times New Roman"/>
            <w:sz w:val="24"/>
            <w:shd w:val="clear" w:color="auto" w:fill="FFFFFF"/>
          </w:rPr>
          <w:t>/0034654312457206</w:t>
        </w:r>
      </w:hyperlink>
      <w:r w:rsidR="005417F2">
        <w:rPr>
          <w:rFonts w:cs="Times New Roman"/>
          <w:color w:val="222222"/>
          <w:sz w:val="24"/>
          <w:shd w:val="clear" w:color="auto" w:fill="FFFFFF"/>
        </w:rPr>
        <w:t>.</w:t>
      </w:r>
    </w:p>
    <w:p w:rsidR="001503CF" w:rsidRPr="007870A4" w:rsidRDefault="008A3C23" w:rsidP="00912774">
      <w:pPr>
        <w:autoSpaceDE w:val="0"/>
        <w:autoSpaceDN w:val="0"/>
        <w:adjustRightInd w:val="0"/>
        <w:ind w:left="567" w:hanging="567"/>
        <w:rPr>
          <w:sz w:val="24"/>
          <w:lang w:val="en-GB"/>
        </w:rPr>
      </w:pPr>
      <w:r>
        <w:rPr>
          <w:color w:val="222222"/>
          <w:sz w:val="24"/>
          <w:shd w:val="clear" w:color="auto" w:fill="FFFFFF"/>
          <w:lang w:val="en-GB"/>
        </w:rPr>
        <w:t>Hussain, A., Azeem, M. y</w:t>
      </w:r>
      <w:r w:rsidR="001503CF" w:rsidRPr="007870A4">
        <w:rPr>
          <w:color w:val="222222"/>
          <w:sz w:val="24"/>
          <w:shd w:val="clear" w:color="auto" w:fill="FFFFFF"/>
          <w:lang w:val="en-GB"/>
        </w:rPr>
        <w:t xml:space="preserve"> Shakoor, A. (2011). Physics teaching methods: scientific inquiry vs traditional lecture. </w:t>
      </w:r>
      <w:r w:rsidR="001503CF" w:rsidRPr="007870A4">
        <w:rPr>
          <w:i/>
          <w:iCs/>
          <w:color w:val="222222"/>
          <w:sz w:val="24"/>
          <w:shd w:val="clear" w:color="auto" w:fill="FFFFFF"/>
          <w:lang w:val="en-GB"/>
        </w:rPr>
        <w:t>International Journal of Humanities and Social Science</w:t>
      </w:r>
      <w:r w:rsidR="001503CF" w:rsidRPr="007870A4">
        <w:rPr>
          <w:color w:val="222222"/>
          <w:sz w:val="24"/>
          <w:shd w:val="clear" w:color="auto" w:fill="FFFFFF"/>
          <w:lang w:val="en-GB"/>
        </w:rPr>
        <w:t>, </w:t>
      </w:r>
      <w:r w:rsidR="001503CF" w:rsidRPr="007870A4">
        <w:rPr>
          <w:i/>
          <w:iCs/>
          <w:color w:val="222222"/>
          <w:sz w:val="24"/>
          <w:shd w:val="clear" w:color="auto" w:fill="FFFFFF"/>
          <w:lang w:val="en-GB"/>
        </w:rPr>
        <w:t>1</w:t>
      </w:r>
      <w:r w:rsidR="001503CF" w:rsidRPr="007870A4">
        <w:rPr>
          <w:color w:val="222222"/>
          <w:sz w:val="24"/>
          <w:shd w:val="clear" w:color="auto" w:fill="FFFFFF"/>
          <w:lang w:val="en-GB"/>
        </w:rPr>
        <w:t>(19), 269-276.</w:t>
      </w:r>
    </w:p>
    <w:p w:rsidR="001503CF" w:rsidRPr="007870A4" w:rsidRDefault="001503CF" w:rsidP="00912774">
      <w:pPr>
        <w:ind w:left="567" w:hanging="567"/>
        <w:rPr>
          <w:sz w:val="24"/>
          <w:lang w:val="de-DE"/>
        </w:rPr>
      </w:pPr>
      <w:r w:rsidRPr="007870A4">
        <w:rPr>
          <w:sz w:val="24"/>
          <w:lang w:val="en-GB"/>
        </w:rPr>
        <w:t>Kirschner, P. A., Sweller, J</w:t>
      </w:r>
      <w:r w:rsidR="008A3C23">
        <w:rPr>
          <w:sz w:val="24"/>
          <w:lang w:val="en-GB"/>
        </w:rPr>
        <w:t>. y Clark, R.E. (2006). Why M</w:t>
      </w:r>
      <w:r w:rsidRPr="007870A4">
        <w:rPr>
          <w:sz w:val="24"/>
          <w:lang w:val="en-GB"/>
        </w:rPr>
        <w:t xml:space="preserve">inimal Guidance During Instruction Does Not </w:t>
      </w:r>
      <w:proofErr w:type="gramStart"/>
      <w:r w:rsidRPr="007870A4">
        <w:rPr>
          <w:sz w:val="24"/>
          <w:lang w:val="en-GB"/>
        </w:rPr>
        <w:t>Work:</w:t>
      </w:r>
      <w:proofErr w:type="gramEnd"/>
      <w:r w:rsidRPr="007870A4">
        <w:rPr>
          <w:sz w:val="24"/>
          <w:lang w:val="en-GB"/>
        </w:rPr>
        <w:t xml:space="preserve"> An Analysis of the Failure of Constructivist, Discovery, Problem-Based, Experiential, and Inquiry-Based Teaching. </w:t>
      </w:r>
      <w:r w:rsidRPr="008A3C23">
        <w:rPr>
          <w:i/>
          <w:sz w:val="24"/>
          <w:lang w:val="de-DE"/>
        </w:rPr>
        <w:t>Educational Psychologist</w:t>
      </w:r>
      <w:r w:rsidRPr="007870A4">
        <w:rPr>
          <w:sz w:val="24"/>
          <w:lang w:val="de-DE"/>
        </w:rPr>
        <w:t>,</w:t>
      </w:r>
      <w:r w:rsidRPr="008A3C23">
        <w:rPr>
          <w:i/>
          <w:sz w:val="24"/>
          <w:lang w:val="de-DE"/>
        </w:rPr>
        <w:t xml:space="preserve"> 41</w:t>
      </w:r>
      <w:r w:rsidRPr="007870A4">
        <w:rPr>
          <w:sz w:val="24"/>
          <w:lang w:val="de-DE"/>
        </w:rPr>
        <w:t xml:space="preserve">(2), 75–86. </w:t>
      </w:r>
      <w:hyperlink r:id="rId22" w:history="1">
        <w:r w:rsidR="005417F2" w:rsidRPr="005417F2">
          <w:rPr>
            <w:rStyle w:val="Hipervnculo"/>
            <w:sz w:val="24"/>
            <w:lang w:val="de-DE"/>
          </w:rPr>
          <w:t>DOI: 10.1207/s15326985ep4102_1.</w:t>
        </w:r>
      </w:hyperlink>
    </w:p>
    <w:p w:rsidR="001503CF" w:rsidRDefault="001503CF" w:rsidP="00912774">
      <w:pPr>
        <w:autoSpaceDE w:val="0"/>
        <w:autoSpaceDN w:val="0"/>
        <w:adjustRightInd w:val="0"/>
        <w:ind w:left="567" w:hanging="567"/>
        <w:rPr>
          <w:color w:val="222222"/>
          <w:sz w:val="24"/>
          <w:shd w:val="clear" w:color="auto" w:fill="FFFFFF"/>
        </w:rPr>
      </w:pPr>
      <w:r w:rsidRPr="007870A4">
        <w:rPr>
          <w:color w:val="222222"/>
          <w:sz w:val="24"/>
          <w:shd w:val="clear" w:color="auto" w:fill="FFFFFF"/>
          <w:lang w:val="de-DE"/>
        </w:rPr>
        <w:t>Kunter, M., Klusmann, U., Baume</w:t>
      </w:r>
      <w:r w:rsidR="008A3C23">
        <w:rPr>
          <w:color w:val="222222"/>
          <w:sz w:val="24"/>
          <w:shd w:val="clear" w:color="auto" w:fill="FFFFFF"/>
          <w:lang w:val="de-DE"/>
        </w:rPr>
        <w:t>rt, J., Richter, D., Voss, T. y</w:t>
      </w:r>
      <w:r w:rsidRPr="007870A4">
        <w:rPr>
          <w:color w:val="222222"/>
          <w:sz w:val="24"/>
          <w:shd w:val="clear" w:color="auto" w:fill="FFFFFF"/>
          <w:lang w:val="de-DE"/>
        </w:rPr>
        <w:t xml:space="preserve"> Hachfeld, A. (2013). </w:t>
      </w:r>
      <w:r w:rsidRPr="007870A4">
        <w:rPr>
          <w:color w:val="222222"/>
          <w:sz w:val="24"/>
          <w:shd w:val="clear" w:color="auto" w:fill="FFFFFF"/>
          <w:lang w:val="en-GB"/>
        </w:rPr>
        <w:t>Professional competence of teachers: Effects on instructional quality and student development. </w:t>
      </w:r>
      <w:r w:rsidRPr="00FA6948">
        <w:rPr>
          <w:i/>
          <w:iCs/>
          <w:color w:val="222222"/>
          <w:sz w:val="24"/>
          <w:shd w:val="clear" w:color="auto" w:fill="FFFFFF"/>
        </w:rPr>
        <w:t>Journal of Educational Psychology</w:t>
      </w:r>
      <w:r w:rsidRPr="00FA6948">
        <w:rPr>
          <w:color w:val="222222"/>
          <w:sz w:val="24"/>
          <w:shd w:val="clear" w:color="auto" w:fill="FFFFFF"/>
        </w:rPr>
        <w:t>, </w:t>
      </w:r>
      <w:r w:rsidRPr="00FA6948">
        <w:rPr>
          <w:i/>
          <w:iCs/>
          <w:color w:val="222222"/>
          <w:sz w:val="24"/>
          <w:shd w:val="clear" w:color="auto" w:fill="FFFFFF"/>
        </w:rPr>
        <w:t>105</w:t>
      </w:r>
      <w:r w:rsidRPr="00FA6948">
        <w:rPr>
          <w:color w:val="222222"/>
          <w:sz w:val="24"/>
          <w:shd w:val="clear" w:color="auto" w:fill="FFFFFF"/>
        </w:rPr>
        <w:t>(3), 805.</w:t>
      </w:r>
      <w:r w:rsidR="00426A27">
        <w:rPr>
          <w:color w:val="222222"/>
          <w:sz w:val="24"/>
          <w:shd w:val="clear" w:color="auto" w:fill="FFFFFF"/>
        </w:rPr>
        <w:t xml:space="preserve"> </w:t>
      </w:r>
      <w:hyperlink r:id="rId23" w:history="1">
        <w:r w:rsidR="00426A27" w:rsidRPr="00426A27">
          <w:rPr>
            <w:rStyle w:val="Hipervnculo"/>
            <w:sz w:val="24"/>
            <w:shd w:val="clear" w:color="auto" w:fill="FFFFFF"/>
          </w:rPr>
          <w:t>DOI: 10.1037/a0032583.</w:t>
        </w:r>
      </w:hyperlink>
    </w:p>
    <w:p w:rsidR="008C5231" w:rsidRDefault="008C5231" w:rsidP="00912774">
      <w:pPr>
        <w:autoSpaceDE w:val="0"/>
        <w:autoSpaceDN w:val="0"/>
        <w:adjustRightInd w:val="0"/>
        <w:ind w:left="567" w:hanging="567"/>
        <w:rPr>
          <w:rFonts w:cs="Times New Roman"/>
          <w:sz w:val="24"/>
        </w:rPr>
      </w:pPr>
      <w:r w:rsidRPr="008C5231">
        <w:rPr>
          <w:rFonts w:cs="Times New Roman"/>
          <w:color w:val="333333"/>
          <w:sz w:val="24"/>
          <w:shd w:val="clear" w:color="auto" w:fill="FFFFFF"/>
        </w:rPr>
        <w:t>Lazonder, AW y Harmsen, R. (2016). Metaanálisis del aprendizaje basado en la investigación: efectos de la orientación. </w:t>
      </w:r>
      <w:r w:rsidRPr="008C5231">
        <w:rPr>
          <w:rFonts w:cs="Times New Roman"/>
          <w:i/>
          <w:iCs/>
          <w:color w:val="333333"/>
          <w:sz w:val="24"/>
          <w:shd w:val="clear" w:color="auto" w:fill="FFFFFF"/>
        </w:rPr>
        <w:t xml:space="preserve">Review of Educational </w:t>
      </w:r>
      <w:proofErr w:type="gramStart"/>
      <w:r w:rsidRPr="008C5231">
        <w:rPr>
          <w:rFonts w:cs="Times New Roman"/>
          <w:i/>
          <w:iCs/>
          <w:color w:val="333333"/>
          <w:sz w:val="24"/>
          <w:shd w:val="clear" w:color="auto" w:fill="FFFFFF"/>
        </w:rPr>
        <w:t>Research</w:t>
      </w:r>
      <w:r w:rsidRPr="008C5231">
        <w:rPr>
          <w:rFonts w:cs="Times New Roman"/>
          <w:color w:val="333333"/>
          <w:sz w:val="24"/>
          <w:shd w:val="clear" w:color="auto" w:fill="FFFFFF"/>
        </w:rPr>
        <w:t> ,</w:t>
      </w:r>
      <w:proofErr w:type="gramEnd"/>
      <w:r w:rsidRPr="008C5231">
        <w:rPr>
          <w:rFonts w:cs="Times New Roman"/>
          <w:color w:val="333333"/>
          <w:sz w:val="24"/>
          <w:shd w:val="clear" w:color="auto" w:fill="FFFFFF"/>
        </w:rPr>
        <w:t> </w:t>
      </w:r>
      <w:r w:rsidRPr="008C5231">
        <w:rPr>
          <w:rFonts w:cs="Times New Roman"/>
          <w:i/>
          <w:iCs/>
          <w:color w:val="333333"/>
          <w:sz w:val="24"/>
          <w:shd w:val="clear" w:color="auto" w:fill="FFFFFF"/>
        </w:rPr>
        <w:t>86</w:t>
      </w:r>
      <w:r w:rsidRPr="008C5231">
        <w:rPr>
          <w:rFonts w:cs="Times New Roman"/>
          <w:color w:val="333333"/>
          <w:sz w:val="24"/>
          <w:shd w:val="clear" w:color="auto" w:fill="FFFFFF"/>
        </w:rPr>
        <w:t> (3), 681–718. </w:t>
      </w:r>
      <w:hyperlink r:id="rId24" w:history="1">
        <w:r>
          <w:rPr>
            <w:rStyle w:val="Hipervnculo"/>
            <w:rFonts w:cs="Times New Roman"/>
            <w:color w:val="006ACC"/>
            <w:sz w:val="24"/>
            <w:shd w:val="clear" w:color="auto" w:fill="FFFFFF"/>
          </w:rPr>
          <w:t>DOI</w:t>
        </w:r>
        <w:proofErr w:type="gramStart"/>
        <w:r>
          <w:rPr>
            <w:rStyle w:val="Hipervnculo"/>
            <w:rFonts w:cs="Times New Roman"/>
            <w:color w:val="006ACC"/>
            <w:sz w:val="24"/>
            <w:shd w:val="clear" w:color="auto" w:fill="FFFFFF"/>
          </w:rPr>
          <w:t>:</w:t>
        </w:r>
        <w:r w:rsidRPr="008C5231">
          <w:rPr>
            <w:rStyle w:val="Hipervnculo"/>
            <w:rFonts w:cs="Times New Roman"/>
            <w:color w:val="006ACC"/>
            <w:sz w:val="24"/>
            <w:shd w:val="clear" w:color="auto" w:fill="FFFFFF"/>
          </w:rPr>
          <w:t>10.3102</w:t>
        </w:r>
        <w:proofErr w:type="gramEnd"/>
        <w:r w:rsidRPr="008C5231">
          <w:rPr>
            <w:rStyle w:val="Hipervnculo"/>
            <w:rFonts w:cs="Times New Roman"/>
            <w:color w:val="006ACC"/>
            <w:sz w:val="24"/>
            <w:shd w:val="clear" w:color="auto" w:fill="FFFFFF"/>
          </w:rPr>
          <w:t>/0034654315627366</w:t>
        </w:r>
      </w:hyperlink>
      <w:r>
        <w:rPr>
          <w:rFonts w:cs="Times New Roman"/>
          <w:sz w:val="24"/>
        </w:rPr>
        <w:t>.</w:t>
      </w:r>
    </w:p>
    <w:p w:rsidR="00426A27" w:rsidRPr="00426A27" w:rsidRDefault="00426A27" w:rsidP="00426A27">
      <w:pPr>
        <w:ind w:left="567" w:hanging="567"/>
        <w:rPr>
          <w:rFonts w:cs="Times New Roman"/>
          <w:sz w:val="24"/>
        </w:rPr>
      </w:pPr>
      <w:r w:rsidRPr="00426A27">
        <w:rPr>
          <w:sz w:val="24"/>
        </w:rPr>
        <w:lastRenderedPageBreak/>
        <w:t xml:space="preserve">Lederman, Norman G. (2018). La siempre cambiante contextualización de la naturaleza de la ciencia: documentos recientes sobre la reforma de la educación científica en los Estados Unidos y su impacto en el logro de la alfabetización científica. </w:t>
      </w:r>
      <w:r w:rsidRPr="00426A27">
        <w:rPr>
          <w:i/>
          <w:sz w:val="24"/>
        </w:rPr>
        <w:t xml:space="preserve">Enseñanza de las ciencias, 36 </w:t>
      </w:r>
      <w:r w:rsidRPr="00426A27">
        <w:rPr>
          <w:sz w:val="24"/>
        </w:rPr>
        <w:t>(2), 5-22</w:t>
      </w:r>
      <w:r>
        <w:rPr>
          <w:sz w:val="24"/>
        </w:rPr>
        <w:t xml:space="preserve">. </w:t>
      </w:r>
      <w:hyperlink r:id="rId25" w:history="1">
        <w:r w:rsidRPr="00426A27">
          <w:rPr>
            <w:rStyle w:val="Hipervnculo"/>
            <w:rFonts w:cs="Times New Roman"/>
            <w:sz w:val="24"/>
          </w:rPr>
          <w:t xml:space="preserve">DOI: </w:t>
        </w:r>
        <w:r w:rsidRPr="00426A27">
          <w:rPr>
            <w:rStyle w:val="Hipervnculo"/>
            <w:rFonts w:cs="Times New Roman"/>
            <w:sz w:val="24"/>
            <w:shd w:val="clear" w:color="auto" w:fill="FFFFFF"/>
          </w:rPr>
          <w:t>10.5565/rev/ensciencias.2661</w:t>
        </w:r>
      </w:hyperlink>
      <w:r>
        <w:rPr>
          <w:rFonts w:cs="Times New Roman"/>
          <w:sz w:val="24"/>
        </w:rPr>
        <w:t>.</w:t>
      </w:r>
    </w:p>
    <w:p w:rsidR="001503CF" w:rsidRPr="00FE501D" w:rsidRDefault="001503CF" w:rsidP="00912774">
      <w:pPr>
        <w:ind w:left="567" w:hanging="567"/>
        <w:rPr>
          <w:sz w:val="24"/>
        </w:rPr>
      </w:pPr>
      <w:r w:rsidRPr="00FE501D">
        <w:rPr>
          <w:sz w:val="24"/>
        </w:rPr>
        <w:t>M</w:t>
      </w:r>
      <w:r w:rsidR="00813E32">
        <w:rPr>
          <w:sz w:val="24"/>
        </w:rPr>
        <w:t xml:space="preserve">uñoz, J.  </w:t>
      </w:r>
      <w:proofErr w:type="gramStart"/>
      <w:r w:rsidR="00813E32">
        <w:rPr>
          <w:sz w:val="24"/>
        </w:rPr>
        <w:t xml:space="preserve">y </w:t>
      </w:r>
      <w:r w:rsidRPr="00FE501D">
        <w:rPr>
          <w:sz w:val="24"/>
        </w:rPr>
        <w:t xml:space="preserve"> Charro</w:t>
      </w:r>
      <w:proofErr w:type="gramEnd"/>
      <w:r w:rsidRPr="00FE501D">
        <w:rPr>
          <w:sz w:val="24"/>
        </w:rPr>
        <w:t xml:space="preserve">, E. (2017). Los ítems PISA </w:t>
      </w:r>
      <w:proofErr w:type="gramStart"/>
      <w:r w:rsidRPr="00FE501D">
        <w:rPr>
          <w:sz w:val="24"/>
        </w:rPr>
        <w:t>como</w:t>
      </w:r>
      <w:proofErr w:type="gramEnd"/>
      <w:r w:rsidRPr="00FE501D">
        <w:rPr>
          <w:sz w:val="24"/>
        </w:rPr>
        <w:t xml:space="preserve"> herramienta para el docente en la identificación de los conocimientos y habilidades científicas. </w:t>
      </w:r>
      <w:r w:rsidRPr="008A3C23">
        <w:rPr>
          <w:i/>
          <w:sz w:val="24"/>
        </w:rPr>
        <w:t>Revista Eureka sobre Enseñanza y Divulgación de las Ciencias, 14</w:t>
      </w:r>
      <w:r w:rsidR="008A3C23">
        <w:rPr>
          <w:sz w:val="24"/>
        </w:rPr>
        <w:t xml:space="preserve"> (2), 317-338.</w:t>
      </w:r>
      <w:r w:rsidR="00426A27">
        <w:rPr>
          <w:sz w:val="24"/>
        </w:rPr>
        <w:t xml:space="preserve"> </w:t>
      </w:r>
      <w:hyperlink r:id="rId26" w:history="1">
        <w:r w:rsidR="00813E32" w:rsidRPr="00813E32">
          <w:rPr>
            <w:rStyle w:val="Hipervnculo"/>
            <w:sz w:val="24"/>
          </w:rPr>
          <w:t xml:space="preserve">DOI: </w:t>
        </w:r>
        <w:r w:rsidR="00426A27" w:rsidRPr="00813E32">
          <w:rPr>
            <w:rStyle w:val="Hipervnculo"/>
            <w:sz w:val="24"/>
          </w:rPr>
          <w:t>10498/19220</w:t>
        </w:r>
        <w:r w:rsidR="00813E32" w:rsidRPr="00813E32">
          <w:rPr>
            <w:rStyle w:val="Hipervnculo"/>
            <w:sz w:val="24"/>
          </w:rPr>
          <w:t>.</w:t>
        </w:r>
      </w:hyperlink>
    </w:p>
    <w:p w:rsidR="001503CF" w:rsidRPr="007870A4" w:rsidRDefault="001503CF" w:rsidP="00813E32">
      <w:pPr>
        <w:pStyle w:val="Pa27"/>
        <w:spacing w:line="240" w:lineRule="auto"/>
        <w:ind w:left="567" w:hanging="567"/>
        <w:jc w:val="both"/>
        <w:rPr>
          <w:rFonts w:ascii="Times New Roman" w:hAnsi="Times New Roman"/>
          <w:color w:val="000000"/>
          <w:lang w:val="en-GB"/>
        </w:rPr>
      </w:pPr>
      <w:r w:rsidRPr="007870A4">
        <w:rPr>
          <w:rFonts w:ascii="Times New Roman" w:hAnsi="Times New Roman"/>
          <w:color w:val="000000"/>
          <w:lang w:val="en-GB"/>
        </w:rPr>
        <w:t xml:space="preserve">National Research Council (1996). </w:t>
      </w:r>
      <w:r w:rsidRPr="007870A4">
        <w:rPr>
          <w:rFonts w:ascii="Times New Roman" w:hAnsi="Times New Roman"/>
          <w:i/>
          <w:iCs/>
          <w:color w:val="000000"/>
          <w:lang w:val="en-GB"/>
        </w:rPr>
        <w:t>National science education standards</w:t>
      </w:r>
      <w:r w:rsidRPr="007870A4">
        <w:rPr>
          <w:rFonts w:ascii="Times New Roman" w:hAnsi="Times New Roman"/>
          <w:color w:val="000000"/>
          <w:lang w:val="en-GB"/>
        </w:rPr>
        <w:t>. Washington, D</w:t>
      </w:r>
      <w:r w:rsidR="00813E32">
        <w:rPr>
          <w:rFonts w:ascii="Times New Roman" w:hAnsi="Times New Roman"/>
          <w:color w:val="000000"/>
          <w:lang w:val="en-GB"/>
        </w:rPr>
        <w:t>C: The National Academies Press.</w:t>
      </w:r>
      <w:r w:rsidRPr="007870A4">
        <w:rPr>
          <w:rFonts w:ascii="Times New Roman" w:hAnsi="Times New Roman"/>
          <w:color w:val="000000"/>
          <w:lang w:val="en-GB"/>
        </w:rPr>
        <w:t xml:space="preserve"> </w:t>
      </w:r>
      <w:hyperlink r:id="rId27" w:history="1">
        <w:r w:rsidR="008A3C23">
          <w:rPr>
            <w:rStyle w:val="Hipervnculo"/>
            <w:rFonts w:ascii="Times New Roman" w:hAnsi="Times New Roman"/>
            <w:lang w:val="en-GB"/>
          </w:rPr>
          <w:t>DOI</w:t>
        </w:r>
        <w:proofErr w:type="gramStart"/>
        <w:r w:rsidR="008A3C23">
          <w:rPr>
            <w:rStyle w:val="Hipervnculo"/>
            <w:rFonts w:ascii="Times New Roman" w:hAnsi="Times New Roman"/>
            <w:lang w:val="en-GB"/>
          </w:rPr>
          <w:t>:</w:t>
        </w:r>
        <w:r w:rsidRPr="007870A4">
          <w:rPr>
            <w:rStyle w:val="Hipervnculo"/>
            <w:rFonts w:ascii="Times New Roman" w:hAnsi="Times New Roman"/>
            <w:lang w:val="en-GB"/>
          </w:rPr>
          <w:t>10.17226</w:t>
        </w:r>
        <w:proofErr w:type="gramEnd"/>
        <w:r w:rsidRPr="007870A4">
          <w:rPr>
            <w:rStyle w:val="Hipervnculo"/>
            <w:rFonts w:ascii="Times New Roman" w:hAnsi="Times New Roman"/>
            <w:lang w:val="en-GB"/>
          </w:rPr>
          <w:t>/4962</w:t>
        </w:r>
      </w:hyperlink>
      <w:r w:rsidRPr="007870A4">
        <w:rPr>
          <w:rFonts w:ascii="Times New Roman" w:hAnsi="Times New Roman"/>
          <w:color w:val="000000"/>
          <w:lang w:val="en-GB"/>
        </w:rPr>
        <w:t>.</w:t>
      </w:r>
    </w:p>
    <w:p w:rsidR="001503CF" w:rsidRPr="007870A4" w:rsidRDefault="001503CF" w:rsidP="00912774">
      <w:pPr>
        <w:pStyle w:val="Pa27"/>
        <w:spacing w:line="240" w:lineRule="auto"/>
        <w:ind w:left="567" w:hanging="567"/>
        <w:jc w:val="both"/>
        <w:rPr>
          <w:rFonts w:ascii="Times New Roman" w:hAnsi="Times New Roman"/>
          <w:color w:val="000000"/>
          <w:lang w:val="en-GB"/>
        </w:rPr>
      </w:pPr>
      <w:r w:rsidRPr="007870A4">
        <w:rPr>
          <w:rFonts w:ascii="Times New Roman" w:hAnsi="Times New Roman"/>
          <w:color w:val="000000"/>
          <w:lang w:val="en-GB"/>
        </w:rPr>
        <w:t xml:space="preserve">National Research Council (2007). </w:t>
      </w:r>
      <w:r w:rsidRPr="007870A4">
        <w:rPr>
          <w:rFonts w:ascii="Times New Roman" w:hAnsi="Times New Roman"/>
          <w:i/>
          <w:iCs/>
          <w:color w:val="000000"/>
          <w:lang w:val="en-GB"/>
        </w:rPr>
        <w:t>Taking science to school</w:t>
      </w:r>
      <w:r w:rsidRPr="007870A4">
        <w:rPr>
          <w:rFonts w:ascii="Times New Roman" w:hAnsi="Times New Roman"/>
          <w:color w:val="000000"/>
          <w:lang w:val="en-GB"/>
        </w:rPr>
        <w:t>. Washington, DC: T</w:t>
      </w:r>
      <w:r w:rsidR="00813E32">
        <w:rPr>
          <w:rFonts w:ascii="Times New Roman" w:hAnsi="Times New Roman"/>
          <w:color w:val="000000"/>
          <w:lang w:val="en-GB"/>
        </w:rPr>
        <w:t>he National Aca</w:t>
      </w:r>
      <w:r w:rsidR="00813E32">
        <w:rPr>
          <w:rFonts w:ascii="Times New Roman" w:hAnsi="Times New Roman"/>
          <w:color w:val="000000"/>
          <w:lang w:val="en-GB"/>
        </w:rPr>
        <w:softHyphen/>
        <w:t>demies Press.</w:t>
      </w:r>
      <w:r w:rsidRPr="007870A4">
        <w:rPr>
          <w:rFonts w:ascii="Times New Roman" w:hAnsi="Times New Roman"/>
          <w:color w:val="000000"/>
          <w:lang w:val="en-GB"/>
        </w:rPr>
        <w:t xml:space="preserve"> </w:t>
      </w:r>
      <w:hyperlink r:id="rId28" w:history="1">
        <w:r w:rsidR="008A3C23">
          <w:rPr>
            <w:rStyle w:val="Hipervnculo"/>
            <w:rFonts w:ascii="Times New Roman" w:hAnsi="Times New Roman"/>
            <w:lang w:val="en-GB"/>
          </w:rPr>
          <w:t xml:space="preserve">DOI: </w:t>
        </w:r>
        <w:r w:rsidRPr="007870A4">
          <w:rPr>
            <w:rStyle w:val="Hipervnculo"/>
            <w:rFonts w:ascii="Times New Roman" w:hAnsi="Times New Roman"/>
            <w:lang w:val="en-GB"/>
          </w:rPr>
          <w:t>10.17226/11625</w:t>
        </w:r>
      </w:hyperlink>
      <w:r w:rsidRPr="007870A4">
        <w:rPr>
          <w:rFonts w:ascii="Times New Roman" w:hAnsi="Times New Roman"/>
          <w:color w:val="000000"/>
          <w:lang w:val="en-GB"/>
        </w:rPr>
        <w:t>.</w:t>
      </w:r>
    </w:p>
    <w:p w:rsidR="001503CF" w:rsidRPr="007870A4" w:rsidRDefault="001503CF" w:rsidP="00912774">
      <w:pPr>
        <w:pStyle w:val="Pa27"/>
        <w:spacing w:line="240" w:lineRule="auto"/>
        <w:ind w:left="567" w:hanging="567"/>
        <w:jc w:val="both"/>
        <w:rPr>
          <w:rFonts w:ascii="Times New Roman" w:hAnsi="Times New Roman"/>
          <w:color w:val="000000"/>
          <w:lang w:val="en-GB"/>
        </w:rPr>
      </w:pPr>
      <w:r w:rsidRPr="007870A4">
        <w:rPr>
          <w:rFonts w:ascii="Times New Roman" w:hAnsi="Times New Roman"/>
          <w:color w:val="000000"/>
          <w:lang w:val="en-GB"/>
        </w:rPr>
        <w:t xml:space="preserve">National Research Council (2012). </w:t>
      </w:r>
      <w:r w:rsidRPr="007870A4">
        <w:rPr>
          <w:rFonts w:ascii="Times New Roman" w:hAnsi="Times New Roman"/>
          <w:i/>
          <w:iCs/>
          <w:color w:val="000000"/>
          <w:lang w:val="en-GB"/>
        </w:rPr>
        <w:t xml:space="preserve">A framework for K-12 science education: Practices, crosscutting concepts, and core ideas. </w:t>
      </w:r>
      <w:r w:rsidRPr="007870A4">
        <w:rPr>
          <w:rFonts w:ascii="Times New Roman" w:hAnsi="Times New Roman"/>
          <w:color w:val="000000"/>
          <w:lang w:val="en-GB"/>
        </w:rPr>
        <w:t>Washington, DC: National Academies Press</w:t>
      </w:r>
      <w:proofErr w:type="gramStart"/>
      <w:r w:rsidRPr="007870A4">
        <w:rPr>
          <w:rFonts w:ascii="Times New Roman" w:hAnsi="Times New Roman"/>
          <w:color w:val="000000"/>
          <w:lang w:val="en-GB"/>
        </w:rPr>
        <w:t xml:space="preserve">,  </w:t>
      </w:r>
      <w:proofErr w:type="gramEnd"/>
      <w:r w:rsidR="00F879F8">
        <w:fldChar w:fldCharType="begin"/>
      </w:r>
      <w:r w:rsidR="00F879F8">
        <w:instrText xml:space="preserve"> HYPERLINK "https://doi.org/10.17226/13165" </w:instrText>
      </w:r>
      <w:r w:rsidR="00F879F8">
        <w:fldChar w:fldCharType="separate"/>
      </w:r>
      <w:r w:rsidR="008A3C23">
        <w:rPr>
          <w:rStyle w:val="Hipervnculo"/>
          <w:rFonts w:ascii="Times New Roman" w:hAnsi="Times New Roman"/>
          <w:lang w:val="en-GB"/>
        </w:rPr>
        <w:t xml:space="preserve">DOI: </w:t>
      </w:r>
      <w:r w:rsidRPr="007870A4">
        <w:rPr>
          <w:rStyle w:val="Hipervnculo"/>
          <w:rFonts w:ascii="Times New Roman" w:hAnsi="Times New Roman"/>
          <w:lang w:val="en-GB"/>
        </w:rPr>
        <w:t>10.17226/13165</w:t>
      </w:r>
      <w:r w:rsidR="00F879F8">
        <w:rPr>
          <w:rStyle w:val="Hipervnculo"/>
          <w:rFonts w:ascii="Times New Roman" w:hAnsi="Times New Roman"/>
          <w:lang w:val="en-GB"/>
        </w:rPr>
        <w:fldChar w:fldCharType="end"/>
      </w:r>
      <w:r w:rsidRPr="007870A4">
        <w:rPr>
          <w:rFonts w:ascii="Times New Roman" w:hAnsi="Times New Roman"/>
          <w:color w:val="000000"/>
          <w:lang w:val="en-GB"/>
        </w:rPr>
        <w:t>.</w:t>
      </w:r>
    </w:p>
    <w:p w:rsidR="001503CF" w:rsidRPr="00FE501D" w:rsidRDefault="001503CF" w:rsidP="00912774">
      <w:pPr>
        <w:ind w:left="567" w:hanging="567"/>
        <w:rPr>
          <w:color w:val="FF0000"/>
          <w:sz w:val="24"/>
          <w:shd w:val="clear" w:color="auto" w:fill="FFFFFF"/>
        </w:rPr>
      </w:pPr>
      <w:r w:rsidRPr="007870A4">
        <w:rPr>
          <w:color w:val="000000"/>
          <w:sz w:val="24"/>
          <w:lang w:val="en-GB"/>
        </w:rPr>
        <w:t xml:space="preserve">National Science Teachers Association (1982). </w:t>
      </w:r>
      <w:r w:rsidRPr="007870A4">
        <w:rPr>
          <w:i/>
          <w:iCs/>
          <w:color w:val="000000"/>
          <w:sz w:val="24"/>
          <w:lang w:val="en-GB"/>
        </w:rPr>
        <w:t>Science-technology-society: Science education for the 1980s</w:t>
      </w:r>
      <w:r w:rsidRPr="007870A4">
        <w:rPr>
          <w:color w:val="000000"/>
          <w:sz w:val="24"/>
          <w:lang w:val="en-GB"/>
        </w:rPr>
        <w:t xml:space="preserve">. </w:t>
      </w:r>
      <w:r w:rsidRPr="00FE501D">
        <w:rPr>
          <w:color w:val="000000"/>
          <w:sz w:val="24"/>
        </w:rPr>
        <w:t xml:space="preserve">Washington, DC: Author. </w:t>
      </w:r>
    </w:p>
    <w:p w:rsidR="001503CF" w:rsidRPr="00B07A68" w:rsidRDefault="001503CF" w:rsidP="00912774">
      <w:pPr>
        <w:ind w:left="567" w:hanging="567"/>
        <w:rPr>
          <w:sz w:val="24"/>
        </w:rPr>
      </w:pPr>
      <w:r w:rsidRPr="00B07A68">
        <w:rPr>
          <w:sz w:val="24"/>
        </w:rPr>
        <w:t xml:space="preserve">OECD (2016a). </w:t>
      </w:r>
      <w:r w:rsidRPr="000D5E9F">
        <w:rPr>
          <w:i/>
          <w:sz w:val="24"/>
        </w:rPr>
        <w:t>PISA 2015 Science Framework, in PISA 2015 Assessment and Analytical Framework: Science, Reading, Mathematic and Financial Literacy</w:t>
      </w:r>
      <w:r w:rsidRPr="00B07A68">
        <w:rPr>
          <w:sz w:val="24"/>
        </w:rPr>
        <w:t xml:space="preserve">. Paris: PISA OECD Publishing. Recuperado de </w:t>
      </w:r>
      <w:hyperlink r:id="rId29" w:history="1">
        <w:r w:rsidR="000D5E9F" w:rsidRPr="00017BCB">
          <w:rPr>
            <w:rStyle w:val="Hipervnculo"/>
            <w:sz w:val="24"/>
          </w:rPr>
          <w:t>http://dx.doi.org/10.1787/9789264255425-en</w:t>
        </w:r>
      </w:hyperlink>
      <w:r w:rsidRPr="00B07A68">
        <w:rPr>
          <w:sz w:val="24"/>
        </w:rPr>
        <w:t>.</w:t>
      </w:r>
      <w:r w:rsidR="000D5E9F">
        <w:rPr>
          <w:sz w:val="24"/>
        </w:rPr>
        <w:t xml:space="preserve"> (</w:t>
      </w:r>
      <w:proofErr w:type="gramStart"/>
      <w:r w:rsidR="000D5E9F">
        <w:rPr>
          <w:sz w:val="24"/>
        </w:rPr>
        <w:t>20 de</w:t>
      </w:r>
      <w:proofErr w:type="gramEnd"/>
      <w:r w:rsidR="000D5E9F">
        <w:rPr>
          <w:sz w:val="24"/>
        </w:rPr>
        <w:t xml:space="preserve"> mayo de 2020).</w:t>
      </w:r>
    </w:p>
    <w:p w:rsidR="001503CF" w:rsidRPr="007870A4" w:rsidRDefault="001503CF" w:rsidP="00912774">
      <w:pPr>
        <w:ind w:left="567" w:hanging="567"/>
        <w:rPr>
          <w:sz w:val="24"/>
          <w:lang w:val="en-GB"/>
        </w:rPr>
      </w:pPr>
      <w:r w:rsidRPr="007870A4">
        <w:rPr>
          <w:sz w:val="24"/>
          <w:shd w:val="clear" w:color="auto" w:fill="FFFFFF"/>
          <w:lang w:val="en-GB"/>
        </w:rPr>
        <w:t>Osborne, J. (2014). Teaching scientific practices: Meeting the challenge of change. </w:t>
      </w:r>
      <w:r w:rsidRPr="007870A4">
        <w:rPr>
          <w:i/>
          <w:iCs/>
          <w:sz w:val="24"/>
          <w:shd w:val="clear" w:color="auto" w:fill="FFFFFF"/>
          <w:lang w:val="en-GB"/>
        </w:rPr>
        <w:t>Journal of Science Teacher Education</w:t>
      </w:r>
      <w:r w:rsidRPr="007870A4">
        <w:rPr>
          <w:sz w:val="24"/>
          <w:shd w:val="clear" w:color="auto" w:fill="FFFFFF"/>
          <w:lang w:val="en-GB"/>
        </w:rPr>
        <w:t>, </w:t>
      </w:r>
      <w:r w:rsidRPr="007870A4">
        <w:rPr>
          <w:i/>
          <w:iCs/>
          <w:sz w:val="24"/>
          <w:shd w:val="clear" w:color="auto" w:fill="FFFFFF"/>
          <w:lang w:val="en-GB"/>
        </w:rPr>
        <w:t>25</w:t>
      </w:r>
      <w:r w:rsidRPr="007870A4">
        <w:rPr>
          <w:sz w:val="24"/>
          <w:shd w:val="clear" w:color="auto" w:fill="FFFFFF"/>
          <w:lang w:val="en-GB"/>
        </w:rPr>
        <w:t>(2), 177-196.</w:t>
      </w:r>
      <w:r w:rsidR="00813E32">
        <w:rPr>
          <w:sz w:val="24"/>
          <w:shd w:val="clear" w:color="auto" w:fill="FFFFFF"/>
          <w:lang w:val="en-GB"/>
        </w:rPr>
        <w:t xml:space="preserve"> </w:t>
      </w:r>
      <w:hyperlink r:id="rId30" w:history="1">
        <w:r w:rsidR="00813E32" w:rsidRPr="00813E32">
          <w:rPr>
            <w:rStyle w:val="Hipervnculo"/>
            <w:sz w:val="24"/>
            <w:shd w:val="clear" w:color="auto" w:fill="FFFFFF"/>
            <w:lang w:val="en-GB"/>
          </w:rPr>
          <w:t>DOI: 10.1007/s10972-014-9384-1.</w:t>
        </w:r>
      </w:hyperlink>
    </w:p>
    <w:p w:rsidR="001503CF" w:rsidRPr="00E92E69" w:rsidRDefault="008A414E" w:rsidP="00912774">
      <w:pPr>
        <w:autoSpaceDE w:val="0"/>
        <w:autoSpaceDN w:val="0"/>
        <w:adjustRightInd w:val="0"/>
        <w:ind w:left="567" w:hanging="567"/>
        <w:rPr>
          <w:sz w:val="24"/>
        </w:rPr>
      </w:pPr>
      <w:r>
        <w:rPr>
          <w:color w:val="222222"/>
          <w:sz w:val="24"/>
          <w:shd w:val="clear" w:color="auto" w:fill="FFFFFF"/>
          <w:lang w:val="en-GB"/>
        </w:rPr>
        <w:t>Oviedo, H. C. y</w:t>
      </w:r>
      <w:r w:rsidR="001503CF" w:rsidRPr="007870A4">
        <w:rPr>
          <w:color w:val="222222"/>
          <w:sz w:val="24"/>
          <w:shd w:val="clear" w:color="auto" w:fill="FFFFFF"/>
          <w:lang w:val="en-GB"/>
        </w:rPr>
        <w:t xml:space="preserve"> Arias, A. C. (2005). </w:t>
      </w:r>
      <w:r w:rsidR="001503CF" w:rsidRPr="00E92E69">
        <w:rPr>
          <w:color w:val="222222"/>
          <w:sz w:val="24"/>
          <w:shd w:val="clear" w:color="auto" w:fill="FFFFFF"/>
        </w:rPr>
        <w:t xml:space="preserve">Aproximación al </w:t>
      </w:r>
      <w:proofErr w:type="gramStart"/>
      <w:r w:rsidR="001503CF" w:rsidRPr="00E92E69">
        <w:rPr>
          <w:color w:val="222222"/>
          <w:sz w:val="24"/>
          <w:shd w:val="clear" w:color="auto" w:fill="FFFFFF"/>
        </w:rPr>
        <w:t>uso</w:t>
      </w:r>
      <w:proofErr w:type="gramEnd"/>
      <w:r w:rsidR="001503CF" w:rsidRPr="00E92E69">
        <w:rPr>
          <w:color w:val="222222"/>
          <w:sz w:val="24"/>
          <w:shd w:val="clear" w:color="auto" w:fill="FFFFFF"/>
        </w:rPr>
        <w:t xml:space="preserve"> del coeficiente alfa de Cronbach. </w:t>
      </w:r>
      <w:r w:rsidR="001503CF" w:rsidRPr="00E92E69">
        <w:rPr>
          <w:i/>
          <w:iCs/>
          <w:color w:val="222222"/>
          <w:sz w:val="24"/>
          <w:shd w:val="clear" w:color="auto" w:fill="FFFFFF"/>
        </w:rPr>
        <w:t>Revista colombiana de psiquiatría</w:t>
      </w:r>
      <w:r w:rsidR="001503CF" w:rsidRPr="00E92E69">
        <w:rPr>
          <w:color w:val="222222"/>
          <w:sz w:val="24"/>
          <w:shd w:val="clear" w:color="auto" w:fill="FFFFFF"/>
        </w:rPr>
        <w:t>, </w:t>
      </w:r>
      <w:r w:rsidR="001503CF" w:rsidRPr="00E92E69">
        <w:rPr>
          <w:i/>
          <w:iCs/>
          <w:color w:val="222222"/>
          <w:sz w:val="24"/>
          <w:shd w:val="clear" w:color="auto" w:fill="FFFFFF"/>
        </w:rPr>
        <w:t>34</w:t>
      </w:r>
      <w:r w:rsidR="001503CF" w:rsidRPr="00E92E69">
        <w:rPr>
          <w:color w:val="222222"/>
          <w:sz w:val="24"/>
          <w:shd w:val="clear" w:color="auto" w:fill="FFFFFF"/>
        </w:rPr>
        <w:t>(4), 572-580.</w:t>
      </w:r>
    </w:p>
    <w:p w:rsidR="001503CF" w:rsidRPr="007870A4" w:rsidRDefault="001503CF" w:rsidP="00912774">
      <w:pPr>
        <w:autoSpaceDE w:val="0"/>
        <w:autoSpaceDN w:val="0"/>
        <w:adjustRightInd w:val="0"/>
        <w:ind w:left="567" w:hanging="567"/>
        <w:rPr>
          <w:sz w:val="24"/>
          <w:lang w:val="en-GB"/>
        </w:rPr>
      </w:pPr>
      <w:r w:rsidRPr="007169FE">
        <w:rPr>
          <w:sz w:val="24"/>
        </w:rPr>
        <w:t xml:space="preserve">Pedaste M., Mäeots M., Siiman L.A., De Jong </w:t>
      </w:r>
      <w:r w:rsidR="000D5E9F">
        <w:rPr>
          <w:sz w:val="24"/>
        </w:rPr>
        <w:t xml:space="preserve">T., Van Riesen S.A., Kamp E.T. y </w:t>
      </w:r>
      <w:r w:rsidRPr="007169FE">
        <w:rPr>
          <w:sz w:val="24"/>
        </w:rPr>
        <w:t xml:space="preserve">Tsourlidaki E. (2015) Phases of inquiry-based learning: Definitions and the inquiry cycle. </w:t>
      </w:r>
      <w:r w:rsidRPr="007870A4">
        <w:rPr>
          <w:i/>
          <w:iCs/>
          <w:sz w:val="24"/>
          <w:lang w:val="en-GB"/>
        </w:rPr>
        <w:t xml:space="preserve">Educational research review </w:t>
      </w:r>
      <w:r w:rsidRPr="008A414E">
        <w:rPr>
          <w:i/>
          <w:sz w:val="24"/>
          <w:lang w:val="en-GB"/>
        </w:rPr>
        <w:t>14</w:t>
      </w:r>
      <w:r w:rsidRPr="007870A4">
        <w:rPr>
          <w:sz w:val="24"/>
          <w:lang w:val="en-GB"/>
        </w:rPr>
        <w:t xml:space="preserve">, 47-61, </w:t>
      </w:r>
      <w:hyperlink r:id="rId31" w:history="1">
        <w:r w:rsidR="000D5E9F">
          <w:rPr>
            <w:rStyle w:val="Hipervnculo"/>
            <w:sz w:val="24"/>
            <w:lang w:val="en-GB"/>
          </w:rPr>
          <w:t xml:space="preserve">DOI: </w:t>
        </w:r>
        <w:r w:rsidRPr="007870A4">
          <w:rPr>
            <w:rStyle w:val="Hipervnculo"/>
            <w:sz w:val="24"/>
            <w:lang w:val="en-GB"/>
          </w:rPr>
          <w:t>10.1016/j.edurev.2015.02.003</w:t>
        </w:r>
      </w:hyperlink>
      <w:r w:rsidRPr="007870A4">
        <w:rPr>
          <w:sz w:val="24"/>
          <w:lang w:val="en-GB"/>
        </w:rPr>
        <w:t>.</w:t>
      </w:r>
    </w:p>
    <w:p w:rsidR="006B4083" w:rsidRPr="002D7945" w:rsidRDefault="00015CD0" w:rsidP="006B4083">
      <w:pPr>
        <w:ind w:left="567" w:hanging="567"/>
        <w:rPr>
          <w:rFonts w:cs="Times New Roman"/>
          <w:color w:val="000000"/>
          <w:sz w:val="24"/>
          <w:shd w:val="clear" w:color="auto" w:fill="FFFFFF"/>
        </w:rPr>
      </w:pPr>
      <w:r>
        <w:rPr>
          <w:sz w:val="24"/>
        </w:rPr>
        <w:t>Rocard, M.</w:t>
      </w:r>
      <w:r w:rsidRPr="006B4083">
        <w:rPr>
          <w:sz w:val="24"/>
        </w:rPr>
        <w:t>, Csermely, P., Jorde, D. Lenz</w:t>
      </w:r>
      <w:r>
        <w:rPr>
          <w:sz w:val="24"/>
        </w:rPr>
        <w:t>en, D., Walberg-Henriksson, H. y</w:t>
      </w:r>
      <w:r w:rsidRPr="006B4083">
        <w:rPr>
          <w:sz w:val="24"/>
        </w:rPr>
        <w:t xml:space="preserve"> Hemmo, V. (2007). </w:t>
      </w:r>
      <w:r w:rsidRPr="00631C56">
        <w:rPr>
          <w:i/>
          <w:sz w:val="24"/>
        </w:rPr>
        <w:t>Rocard report of the European Commission</w:t>
      </w:r>
      <w:r>
        <w:rPr>
          <w:sz w:val="24"/>
        </w:rPr>
        <w:t xml:space="preserve">. </w:t>
      </w:r>
      <w:r>
        <w:rPr>
          <w:i/>
          <w:sz w:val="24"/>
        </w:rPr>
        <w:t>Science e</w:t>
      </w:r>
      <w:r w:rsidRPr="006B4083">
        <w:rPr>
          <w:i/>
          <w:sz w:val="24"/>
        </w:rPr>
        <w:t xml:space="preserve">ducation now: A renewed Pedagogy for the future of Europe. </w:t>
      </w:r>
      <w:r w:rsidRPr="00631C56">
        <w:rPr>
          <w:sz w:val="24"/>
        </w:rPr>
        <w:t>Brussels: European Commission.</w:t>
      </w:r>
      <w:bookmarkStart w:id="0" w:name="_GoBack"/>
      <w:bookmarkEnd w:id="0"/>
    </w:p>
    <w:p w:rsidR="001503CF" w:rsidRPr="00FE501D" w:rsidRDefault="008A414E" w:rsidP="00912774">
      <w:pPr>
        <w:ind w:left="567" w:hanging="567"/>
        <w:rPr>
          <w:color w:val="222222"/>
          <w:sz w:val="24"/>
          <w:shd w:val="clear" w:color="auto" w:fill="FFFFFF"/>
        </w:rPr>
      </w:pPr>
      <w:r>
        <w:rPr>
          <w:color w:val="222222"/>
          <w:sz w:val="24"/>
          <w:shd w:val="clear" w:color="auto" w:fill="FFFFFF"/>
        </w:rPr>
        <w:t>Romero-</w:t>
      </w:r>
      <w:r w:rsidR="001503CF" w:rsidRPr="00FE501D">
        <w:rPr>
          <w:color w:val="222222"/>
          <w:sz w:val="24"/>
          <w:shd w:val="clear" w:color="auto" w:fill="FFFFFF"/>
        </w:rPr>
        <w:t>A</w:t>
      </w:r>
      <w:r>
        <w:rPr>
          <w:color w:val="222222"/>
          <w:sz w:val="24"/>
          <w:shd w:val="clear" w:color="auto" w:fill="FFFFFF"/>
        </w:rPr>
        <w:t>riza</w:t>
      </w:r>
      <w:r w:rsidR="00AD273B">
        <w:rPr>
          <w:color w:val="222222"/>
          <w:sz w:val="24"/>
          <w:shd w:val="clear" w:color="auto" w:fill="FFFFFF"/>
        </w:rPr>
        <w:t>.</w:t>
      </w:r>
      <w:r w:rsidR="001503CF" w:rsidRPr="00FE501D">
        <w:rPr>
          <w:color w:val="222222"/>
          <w:sz w:val="24"/>
          <w:shd w:val="clear" w:color="auto" w:fill="FFFFFF"/>
        </w:rPr>
        <w:t>, M. (2017). El aprendizaje por indagación:</w:t>
      </w:r>
      <w:r w:rsidR="00806299">
        <w:rPr>
          <w:color w:val="222222"/>
          <w:sz w:val="24"/>
          <w:shd w:val="clear" w:color="auto" w:fill="FFFFFF"/>
        </w:rPr>
        <w:t xml:space="preserve"> </w:t>
      </w:r>
      <w:r w:rsidR="001503CF" w:rsidRPr="00FE501D">
        <w:rPr>
          <w:color w:val="222222"/>
          <w:sz w:val="24"/>
          <w:shd w:val="clear" w:color="auto" w:fill="FFFFFF"/>
        </w:rPr>
        <w:t>¿ existen suficientes evidencias sobres sus beneficios en la enseñanza de las ciencias</w:t>
      </w:r>
      <w:proofErr w:type="gramStart"/>
      <w:r w:rsidR="001503CF" w:rsidRPr="00FE501D">
        <w:rPr>
          <w:color w:val="222222"/>
          <w:sz w:val="24"/>
          <w:shd w:val="clear" w:color="auto" w:fill="FFFFFF"/>
        </w:rPr>
        <w:t>?.</w:t>
      </w:r>
      <w:proofErr w:type="gramEnd"/>
      <w:r w:rsidR="001503CF" w:rsidRPr="00FE501D">
        <w:rPr>
          <w:color w:val="222222"/>
          <w:sz w:val="24"/>
          <w:shd w:val="clear" w:color="auto" w:fill="FFFFFF"/>
        </w:rPr>
        <w:t> </w:t>
      </w:r>
      <w:r w:rsidR="001503CF" w:rsidRPr="00FE501D">
        <w:rPr>
          <w:i/>
          <w:iCs/>
          <w:color w:val="222222"/>
          <w:sz w:val="24"/>
          <w:shd w:val="clear" w:color="auto" w:fill="FFFFFF"/>
        </w:rPr>
        <w:t>Revista Eureka sobre enseñanza y divulgación de las ciencias</w:t>
      </w:r>
      <w:r w:rsidR="001503CF" w:rsidRPr="00FE501D">
        <w:rPr>
          <w:color w:val="222222"/>
          <w:sz w:val="24"/>
          <w:shd w:val="clear" w:color="auto" w:fill="FFFFFF"/>
        </w:rPr>
        <w:t>, </w:t>
      </w:r>
      <w:r w:rsidR="001503CF" w:rsidRPr="00FE501D">
        <w:rPr>
          <w:i/>
          <w:iCs/>
          <w:color w:val="222222"/>
          <w:sz w:val="24"/>
          <w:shd w:val="clear" w:color="auto" w:fill="FFFFFF"/>
        </w:rPr>
        <w:t>14</w:t>
      </w:r>
      <w:r w:rsidR="001503CF" w:rsidRPr="00FE501D">
        <w:rPr>
          <w:color w:val="222222"/>
          <w:sz w:val="24"/>
          <w:shd w:val="clear" w:color="auto" w:fill="FFFFFF"/>
        </w:rPr>
        <w:t>(2), 286-299.</w:t>
      </w:r>
      <w:r>
        <w:rPr>
          <w:color w:val="222222"/>
          <w:sz w:val="24"/>
          <w:shd w:val="clear" w:color="auto" w:fill="FFFFFF"/>
        </w:rPr>
        <w:t xml:space="preserve"> </w:t>
      </w:r>
      <w:hyperlink r:id="rId32" w:history="1">
        <w:r w:rsidRPr="008A414E">
          <w:rPr>
            <w:rStyle w:val="Hipervnculo"/>
            <w:sz w:val="24"/>
            <w:shd w:val="clear" w:color="auto" w:fill="FFFFFF"/>
          </w:rPr>
          <w:t>DOI: 10498/19218</w:t>
        </w:r>
      </w:hyperlink>
      <w:r>
        <w:rPr>
          <w:color w:val="222222"/>
          <w:sz w:val="24"/>
          <w:shd w:val="clear" w:color="auto" w:fill="FFFFFF"/>
        </w:rPr>
        <w:t>.</w:t>
      </w:r>
    </w:p>
    <w:p w:rsidR="001503CF" w:rsidRPr="007870A4" w:rsidRDefault="001503CF" w:rsidP="00912774">
      <w:pPr>
        <w:ind w:left="567" w:hanging="567"/>
        <w:rPr>
          <w:color w:val="222222"/>
          <w:sz w:val="24"/>
          <w:shd w:val="clear" w:color="auto" w:fill="FFFFFF"/>
          <w:lang w:val="en-GB"/>
        </w:rPr>
      </w:pPr>
      <w:r w:rsidRPr="00FE501D">
        <w:rPr>
          <w:color w:val="222222"/>
          <w:sz w:val="24"/>
          <w:shd w:val="clear" w:color="auto" w:fill="FFFFFF"/>
        </w:rPr>
        <w:t xml:space="preserve">Sawilowsky, S. S. (2009). </w:t>
      </w:r>
      <w:r w:rsidRPr="007870A4">
        <w:rPr>
          <w:color w:val="222222"/>
          <w:sz w:val="24"/>
          <w:shd w:val="clear" w:color="auto" w:fill="FFFFFF"/>
          <w:lang w:val="en-GB"/>
        </w:rPr>
        <w:t>New effect size rules of thumb. </w:t>
      </w:r>
      <w:r w:rsidRPr="007870A4">
        <w:rPr>
          <w:i/>
          <w:iCs/>
          <w:color w:val="222222"/>
          <w:sz w:val="24"/>
          <w:shd w:val="clear" w:color="auto" w:fill="FFFFFF"/>
          <w:lang w:val="en-GB"/>
        </w:rPr>
        <w:t>Journal of Modern Applied Statistical Methods</w:t>
      </w:r>
      <w:r w:rsidRPr="007870A4">
        <w:rPr>
          <w:color w:val="222222"/>
          <w:sz w:val="24"/>
          <w:shd w:val="clear" w:color="auto" w:fill="FFFFFF"/>
          <w:lang w:val="en-GB"/>
        </w:rPr>
        <w:t>, </w:t>
      </w:r>
      <w:r w:rsidRPr="007870A4">
        <w:rPr>
          <w:i/>
          <w:iCs/>
          <w:color w:val="222222"/>
          <w:sz w:val="24"/>
          <w:shd w:val="clear" w:color="auto" w:fill="FFFFFF"/>
          <w:lang w:val="en-GB"/>
        </w:rPr>
        <w:t>8</w:t>
      </w:r>
      <w:r w:rsidR="00806299">
        <w:rPr>
          <w:color w:val="222222"/>
          <w:sz w:val="24"/>
          <w:shd w:val="clear" w:color="auto" w:fill="FFFFFF"/>
          <w:lang w:val="en-GB"/>
        </w:rPr>
        <w:t>(2), 597-599</w:t>
      </w:r>
      <w:r w:rsidRPr="007870A4">
        <w:rPr>
          <w:color w:val="222222"/>
          <w:sz w:val="24"/>
          <w:shd w:val="clear" w:color="auto" w:fill="FFFFFF"/>
          <w:lang w:val="en-GB"/>
        </w:rPr>
        <w:t>.</w:t>
      </w:r>
      <w:r w:rsidR="00806299">
        <w:rPr>
          <w:color w:val="222222"/>
          <w:sz w:val="24"/>
          <w:shd w:val="clear" w:color="auto" w:fill="FFFFFF"/>
          <w:lang w:val="en-GB"/>
        </w:rPr>
        <w:t xml:space="preserve"> </w:t>
      </w:r>
      <w:hyperlink r:id="rId33" w:history="1">
        <w:r w:rsidR="00806299" w:rsidRPr="00806299">
          <w:rPr>
            <w:rStyle w:val="Hipervnculo"/>
            <w:sz w:val="24"/>
            <w:shd w:val="clear" w:color="auto" w:fill="FFFFFF"/>
            <w:lang w:val="en-GB"/>
          </w:rPr>
          <w:t xml:space="preserve">DOI: </w:t>
        </w:r>
        <w:r w:rsidR="00806299" w:rsidRPr="00806299">
          <w:rPr>
            <w:rStyle w:val="Hipervnculo"/>
            <w:sz w:val="24"/>
          </w:rPr>
          <w:t>10.22237/jmasm/1257035100.</w:t>
        </w:r>
      </w:hyperlink>
    </w:p>
    <w:p w:rsidR="001503CF" w:rsidRPr="007D437E" w:rsidRDefault="001503CF" w:rsidP="001503CF">
      <w:pPr>
        <w:rPr>
          <w:color w:val="222222"/>
          <w:sz w:val="24"/>
          <w:shd w:val="clear" w:color="auto" w:fill="FFFFFF"/>
        </w:rPr>
      </w:pPr>
    </w:p>
    <w:p w:rsidR="002315C9" w:rsidRDefault="002315C9" w:rsidP="000156AB">
      <w:pPr>
        <w:pStyle w:val="TextoNormal"/>
      </w:pPr>
    </w:p>
    <w:p w:rsidR="002315C9" w:rsidRDefault="00D32905" w:rsidP="000156AB">
      <w:pPr>
        <w:pStyle w:val="TextoNormal"/>
      </w:pPr>
      <w:r>
        <w:rPr>
          <w:noProof/>
          <w:lang w:val="es-ES" w:eastAsia="es-ES"/>
        </w:rPr>
        <mc:AlternateContent>
          <mc:Choice Requires="wps">
            <w:drawing>
              <wp:anchor distT="0" distB="0" distL="114300" distR="114300" simplePos="0" relativeHeight="251660800" behindDoc="0" locked="0" layoutInCell="1" allowOverlap="1" wp14:anchorId="6C7261B8" wp14:editId="7B1BB12C">
                <wp:simplePos x="0" y="0"/>
                <wp:positionH relativeFrom="margin">
                  <wp:align>left</wp:align>
                </wp:positionH>
                <wp:positionV relativeFrom="paragraph">
                  <wp:posOffset>3810</wp:posOffset>
                </wp:positionV>
                <wp:extent cx="6152083" cy="1047750"/>
                <wp:effectExtent l="0" t="0" r="20320" b="19050"/>
                <wp:wrapNone/>
                <wp:docPr id="2" name="Cuadro de texto 1"/>
                <wp:cNvGraphicFramePr/>
                <a:graphic xmlns:a="http://schemas.openxmlformats.org/drawingml/2006/main">
                  <a:graphicData uri="http://schemas.microsoft.com/office/word/2010/wordprocessingShape">
                    <wps:wsp>
                      <wps:cNvSpPr txBox="1"/>
                      <wps:spPr>
                        <a:xfrm>
                          <a:off x="0" y="0"/>
                          <a:ext cx="6152083" cy="1047750"/>
                        </a:xfrm>
                        <a:prstGeom prst="rect">
                          <a:avLst/>
                        </a:prstGeom>
                        <a:solidFill>
                          <a:schemeClr val="accent6">
                            <a:lumMod val="20000"/>
                            <a:lumOff val="80000"/>
                          </a:schemeClr>
                        </a:solidFill>
                        <a:ln w="19050">
                          <a:solidFill>
                            <a:schemeClr val="accent6">
                              <a:lumMod val="50000"/>
                            </a:schemeClr>
                          </a:solidFill>
                          <a:prstDash val="sysDash"/>
                        </a:ln>
                      </wps:spPr>
                      <wps:style>
                        <a:lnRef idx="2">
                          <a:schemeClr val="dk1"/>
                        </a:lnRef>
                        <a:fillRef idx="1">
                          <a:schemeClr val="lt1"/>
                        </a:fillRef>
                        <a:effectRef idx="0">
                          <a:schemeClr val="dk1"/>
                        </a:effectRef>
                        <a:fontRef idx="minor">
                          <a:schemeClr val="dk1"/>
                        </a:fontRef>
                      </wps:style>
                      <wps:txbx>
                        <w:txbxContent>
                          <w:p w:rsidR="00F879F8" w:rsidRPr="00BD2105" w:rsidRDefault="00F879F8" w:rsidP="00D32905">
                            <w:pPr>
                              <w:pStyle w:val="Notaalpie"/>
                              <w:rPr>
                                <w:smallCaps/>
                                <w:color w:val="984806" w:themeColor="accent6" w:themeShade="80"/>
                                <w:sz w:val="24"/>
                              </w:rPr>
                            </w:pPr>
                            <w:r>
                              <w:rPr>
                                <w:smallCaps/>
                                <w:color w:val="984806" w:themeColor="accent6" w:themeShade="80"/>
                                <w:sz w:val="24"/>
                              </w:rPr>
                              <w:t>C</w:t>
                            </w:r>
                            <w:r w:rsidRPr="00BD2105">
                              <w:rPr>
                                <w:smallCaps/>
                                <w:color w:val="984806" w:themeColor="accent6" w:themeShade="80"/>
                                <w:sz w:val="24"/>
                              </w:rPr>
                              <w:t xml:space="preserve">ómo citar este artículo </w:t>
                            </w:r>
                          </w:p>
                          <w:p w:rsidR="00F879F8" w:rsidRPr="00BD2105" w:rsidRDefault="00F879F8" w:rsidP="00D32905">
                            <w:pPr>
                              <w:pStyle w:val="Notaalpie"/>
                            </w:pPr>
                          </w:p>
                          <w:p w:rsidR="00F879F8" w:rsidRPr="00BD2105" w:rsidRDefault="00F879F8" w:rsidP="00D32905">
                            <w:pPr>
                              <w:pStyle w:val="TextoNormal"/>
                              <w:ind w:firstLine="0"/>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7261B8" id="_x0000_t202" coordsize="21600,21600" o:spt="202" path="m,l,21600r21600,l21600,xe">
                <v:stroke joinstyle="miter"/>
                <v:path gradientshapeok="t" o:connecttype="rect"/>
              </v:shapetype>
              <v:shape id="Cuadro de texto 1" o:spid="_x0000_s1026" type="#_x0000_t202" style="position:absolute;left:0;text-align:left;margin-left:0;margin-top:.3pt;width:484.4pt;height:82.5pt;z-index:251660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" fillcolor="#fde9d9 [665]" strokecolor="#974706 [1609]" strokeweight="1.5pt">
                <v:stroke dashstyle="3 1"/>
                <v:textbox>
                  <w:txbxContent>
                    <w:p w:rsidR="00F879F8" w:rsidRPr="00BD2105" w:rsidRDefault="00F879F8" w:rsidP="00D32905">
                      <w:pPr>
                        <w:pStyle w:val="Notaalpie"/>
                        <w:rPr>
                          <w:smallCaps/>
                          <w:color w:val="984806" w:themeColor="accent6" w:themeShade="80"/>
                          <w:sz w:val="24"/>
                        </w:rPr>
                      </w:pPr>
                      <w:r>
                        <w:rPr>
                          <w:smallCaps/>
                          <w:color w:val="984806" w:themeColor="accent6" w:themeShade="80"/>
                          <w:sz w:val="24"/>
                        </w:rPr>
                        <w:t>C</w:t>
                      </w:r>
                      <w:r w:rsidRPr="00BD2105">
                        <w:rPr>
                          <w:smallCaps/>
                          <w:color w:val="984806" w:themeColor="accent6" w:themeShade="80"/>
                          <w:sz w:val="24"/>
                        </w:rPr>
                        <w:t xml:space="preserve">ómo citar este artículo </w:t>
                      </w:r>
                    </w:p>
                    <w:p w:rsidR="00F879F8" w:rsidRPr="00BD2105" w:rsidRDefault="00F879F8" w:rsidP="00D32905">
                      <w:pPr>
                        <w:pStyle w:val="Notaalpie"/>
                      </w:pPr>
                    </w:p>
                    <w:p w:rsidR="00F879F8" w:rsidRPr="00BD2105" w:rsidRDefault="00F879F8" w:rsidP="00D32905">
                      <w:pPr>
                        <w:pStyle w:val="TextoNormal"/>
                        <w:ind w:firstLine="0"/>
                        <w:rPr>
                          <w:sz w:val="18"/>
                        </w:rPr>
                      </w:pPr>
                    </w:p>
                  </w:txbxContent>
                </v:textbox>
                <w10:wrap anchorx="margin"/>
              </v:shape>
            </w:pict>
          </mc:Fallback>
        </mc:AlternateContent>
      </w:r>
    </w:p>
    <w:p w:rsidR="002315C9" w:rsidRPr="00681E15" w:rsidRDefault="002315C9" w:rsidP="000156AB">
      <w:pPr>
        <w:pStyle w:val="TextoNormal"/>
      </w:pPr>
    </w:p>
    <w:p w:rsidR="00727207" w:rsidRPr="00E87439" w:rsidRDefault="00727207" w:rsidP="000156AB">
      <w:pPr>
        <w:pStyle w:val="TextoNormal"/>
        <w:rPr>
          <w:b/>
        </w:rPr>
      </w:pPr>
    </w:p>
    <w:p w:rsidR="004E5EC5" w:rsidRDefault="004E5EC5" w:rsidP="000156AB">
      <w:pPr>
        <w:pStyle w:val="phmheadingnonumber"/>
        <w:spacing w:before="0" w:after="0"/>
        <w:rPr>
          <w:lang w:val="es-ES_tradnl"/>
        </w:rPr>
      </w:pPr>
    </w:p>
    <w:sectPr w:rsidR="004E5EC5" w:rsidSect="00B47707">
      <w:headerReference w:type="default" r:id="rId34"/>
      <w:footerReference w:type="default" r:id="rId35"/>
      <w:footerReference w:type="first" r:id="rId36"/>
      <w:type w:val="continuous"/>
      <w:pgSz w:w="11899" w:h="16840" w:code="9"/>
      <w:pgMar w:top="1418" w:right="1134" w:bottom="1418" w:left="1134" w:header="720" w:footer="720" w:gutter="0"/>
      <w:cols w:space="36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9F8" w:rsidRDefault="00F879F8" w:rsidP="008144CC">
      <w:r>
        <w:separator/>
      </w:r>
    </w:p>
  </w:endnote>
  <w:endnote w:type="continuationSeparator" w:id="0">
    <w:p w:rsidR="00F879F8" w:rsidRDefault="00F879F8" w:rsidP="00814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9F8" w:rsidRPr="00D32905" w:rsidRDefault="00F879F8" w:rsidP="00BB6266">
    <w:pPr>
      <w:pStyle w:val="Notaalpie"/>
      <w:rPr>
        <w:color w:val="984806" w:themeColor="accent6" w:themeShade="80"/>
      </w:rPr>
    </w:pPr>
    <w:r w:rsidRPr="002C6AEB">
      <w:rPr>
        <w:b/>
        <w:i/>
        <w:noProof/>
        <w:lang w:val="es-ES" w:eastAsia="es-ES"/>
      </w:rPr>
      <mc:AlternateContent>
        <mc:Choice Requires="wps">
          <w:drawing>
            <wp:anchor distT="0" distB="0" distL="114300" distR="114300" simplePos="0" relativeHeight="251661312" behindDoc="0" locked="0" layoutInCell="1" allowOverlap="1" wp14:anchorId="351A5214" wp14:editId="4DCBA5A7">
              <wp:simplePos x="0" y="0"/>
              <wp:positionH relativeFrom="column">
                <wp:posOffset>-333375</wp:posOffset>
              </wp:positionH>
              <wp:positionV relativeFrom="paragraph">
                <wp:posOffset>22860</wp:posOffset>
              </wp:positionV>
              <wp:extent cx="304800" cy="85725"/>
              <wp:effectExtent l="0" t="0" r="19050" b="28575"/>
              <wp:wrapNone/>
              <wp:docPr id="7" name="Rectángulo 7"/>
              <wp:cNvGraphicFramePr/>
              <a:graphic xmlns:a="http://schemas.openxmlformats.org/drawingml/2006/main">
                <a:graphicData uri="http://schemas.microsoft.com/office/word/2010/wordprocessingShape">
                  <wps:wsp>
                    <wps:cNvSpPr/>
                    <wps:spPr>
                      <a:xfrm>
                        <a:off x="0" y="0"/>
                        <a:ext cx="304800" cy="85725"/>
                      </a:xfrm>
                      <a:prstGeom prst="rect">
                        <a:avLst/>
                      </a:prstGeom>
                      <a:solidFill>
                        <a:schemeClr val="accent6"/>
                      </a:solidFill>
                      <a:ln w="9525" cap="flat" cmpd="sng" algn="ctr">
                        <a:solidFill>
                          <a:srgbClr val="F79646">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EAF131" id="Rectángulo 7" o:spid="_x0000_s1026" style="position:absolute;margin-left:-26.25pt;margin-top:1.8pt;width:24pt;height:6.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" fillcolor="#f79646 [3209]" strokecolor="#f69240"/>
          </w:pict>
        </mc:Fallback>
      </mc:AlternateContent>
    </w:r>
    <w:r>
      <w:rPr>
        <w:b/>
        <w:i/>
      </w:rPr>
      <w:t xml:space="preserve"> </w:t>
    </w:r>
    <w:r w:rsidRPr="002C6AEB">
      <w:rPr>
        <w:b/>
        <w:i/>
      </w:rPr>
      <w:t>Didáctica de las Ciencias Experimentales y Sociales</w:t>
    </w:r>
    <w:r w:rsidRPr="00393782">
      <w:t xml:space="preserve">, </w:t>
    </w:r>
    <w:r>
      <w:t>número, año, pp. XX-XX - ISSNe</w:t>
    </w:r>
    <w:r w:rsidRPr="00C030E4">
      <w:t>: 2255-3835</w:t>
    </w:r>
    <w:r>
      <w:t xml:space="preserve">                                                  </w:t>
    </w:r>
    <w:r w:rsidRPr="00D32905">
      <w:rPr>
        <w:b/>
        <w:color w:val="984806" w:themeColor="accent6" w:themeShade="80"/>
      </w:rPr>
      <w:fldChar w:fldCharType="begin"/>
    </w:r>
    <w:r w:rsidRPr="00D32905">
      <w:rPr>
        <w:b/>
        <w:color w:val="984806" w:themeColor="accent6" w:themeShade="80"/>
      </w:rPr>
      <w:instrText xml:space="preserve"> PAGE </w:instrText>
    </w:r>
    <w:r w:rsidRPr="00D32905">
      <w:rPr>
        <w:b/>
        <w:color w:val="984806" w:themeColor="accent6" w:themeShade="80"/>
      </w:rPr>
      <w:fldChar w:fldCharType="separate"/>
    </w:r>
    <w:r w:rsidR="00015CD0">
      <w:rPr>
        <w:b/>
        <w:noProof/>
        <w:color w:val="984806" w:themeColor="accent6" w:themeShade="80"/>
      </w:rPr>
      <w:t>17</w:t>
    </w:r>
    <w:r w:rsidRPr="00D32905">
      <w:rPr>
        <w:b/>
        <w:color w:val="984806" w:themeColor="accent6" w:themeShade="8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0"/>
        <w:lang w:val="en-US"/>
      </w:rPr>
      <w:id w:val="799960813"/>
      <w:docPartObj>
        <w:docPartGallery w:val="Page Numbers (Bottom of Page)"/>
        <w:docPartUnique/>
      </w:docPartObj>
    </w:sdtPr>
    <w:sdtEndPr>
      <w:rPr>
        <w:rFonts w:asciiTheme="minorHAnsi" w:hAnsiTheme="minorHAnsi"/>
        <w:b/>
        <w:color w:val="984806" w:themeColor="accent6" w:themeShade="80"/>
        <w:sz w:val="18"/>
        <w:lang w:val="es-ES_tradnl"/>
      </w:rPr>
    </w:sdtEndPr>
    <w:sdtContent>
      <w:p w:rsidR="00F879F8" w:rsidRPr="00BB6266" w:rsidRDefault="00F879F8" w:rsidP="00BB6266">
        <w:pPr>
          <w:pStyle w:val="Notaalpie"/>
          <w:rPr>
            <w:b/>
            <w:color w:val="984806" w:themeColor="accent6" w:themeShade="80"/>
          </w:rPr>
        </w:pPr>
        <w:r>
          <w:rPr>
            <w:noProof/>
            <w:lang w:val="es-ES" w:eastAsia="es-ES"/>
          </w:rPr>
          <w:drawing>
            <wp:anchor distT="0" distB="0" distL="114300" distR="114300" simplePos="0" relativeHeight="251664384" behindDoc="1" locked="0" layoutInCell="1" allowOverlap="1" wp14:anchorId="5644B21F" wp14:editId="24722FC5">
              <wp:simplePos x="0" y="0"/>
              <wp:positionH relativeFrom="margin">
                <wp:posOffset>4970780</wp:posOffset>
              </wp:positionH>
              <wp:positionV relativeFrom="paragraph">
                <wp:posOffset>-45085</wp:posOffset>
              </wp:positionV>
              <wp:extent cx="544195" cy="190500"/>
              <wp:effectExtent l="38100" t="38100" r="65405" b="95250"/>
              <wp:wrapNone/>
              <wp:docPr id="3" name="Imagen 3" descr="Resultado de imagen de CC BY-NC-ND 3.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CC BY-NC-ND 3.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flipH="1" flipV="1">
                        <a:off x="0" y="0"/>
                        <a:ext cx="544195" cy="190500"/>
                      </a:xfrm>
                      <a:prstGeom prst="rect">
                        <a:avLst/>
                      </a:prstGeom>
                      <a:noFill/>
                      <a:ln>
                        <a:no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Pr="00B47707">
          <w:rPr>
            <w:b/>
            <w:i/>
            <w:noProof/>
            <w:lang w:val="es-ES" w:eastAsia="es-ES"/>
          </w:rPr>
          <mc:AlternateContent>
            <mc:Choice Requires="wps">
              <w:drawing>
                <wp:anchor distT="0" distB="0" distL="114300" distR="114300" simplePos="0" relativeHeight="251663360" behindDoc="0" locked="0" layoutInCell="1" allowOverlap="1" wp14:anchorId="4B9F709B" wp14:editId="3EAFD48F">
                  <wp:simplePos x="0" y="0"/>
                  <wp:positionH relativeFrom="column">
                    <wp:posOffset>-333375</wp:posOffset>
                  </wp:positionH>
                  <wp:positionV relativeFrom="paragraph">
                    <wp:posOffset>22860</wp:posOffset>
                  </wp:positionV>
                  <wp:extent cx="304800" cy="85725"/>
                  <wp:effectExtent l="0" t="0" r="0" b="9525"/>
                  <wp:wrapNone/>
                  <wp:docPr id="6" name="Rectángulo 6"/>
                  <wp:cNvGraphicFramePr/>
                  <a:graphic xmlns:a="http://schemas.openxmlformats.org/drawingml/2006/main">
                    <a:graphicData uri="http://schemas.microsoft.com/office/word/2010/wordprocessingShape">
                      <wps:wsp>
                        <wps:cNvSpPr/>
                        <wps:spPr>
                          <a:xfrm>
                            <a:off x="0" y="0"/>
                            <a:ext cx="304800" cy="85725"/>
                          </a:xfrm>
                          <a:prstGeom prst="rect">
                            <a:avLst/>
                          </a:prstGeom>
                          <a:solidFill>
                            <a:schemeClr val="accent6"/>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384505" id="Rectángulo 6" o:spid="_x0000_s1026" style="position:absolute;margin-left:-26.25pt;margin-top:1.8pt;width:24pt;height:6.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" fillcolor="#f79646 [3209]" stroked="f"/>
              </w:pict>
            </mc:Fallback>
          </mc:AlternateContent>
        </w:r>
        <w:r w:rsidRPr="00620230">
          <w:rPr>
            <w:rFonts w:ascii="Times New Roman" w:hAnsi="Times New Roman"/>
            <w:sz w:val="20"/>
            <w:lang w:val="es-ES"/>
          </w:rPr>
          <w:t xml:space="preserve"> </w:t>
        </w:r>
        <w:r w:rsidRPr="00B47707">
          <w:rPr>
            <w:b/>
            <w:i/>
          </w:rPr>
          <w:t>Didáctica de las Ciencias Experimentales y Sociales</w:t>
        </w:r>
        <w:r w:rsidRPr="00393782">
          <w:t xml:space="preserve">, </w:t>
        </w:r>
        <w:r>
          <w:t>número, año, pp. XX-XX - ISSNe</w:t>
        </w:r>
        <w:r w:rsidRPr="00C030E4">
          <w:t>: 2255-3835</w:t>
        </w:r>
        <w:r w:rsidRPr="00393782">
          <w:t xml:space="preserve"> </w:t>
        </w:r>
        <w:r>
          <w:t xml:space="preserve">                                                </w:t>
        </w:r>
        <w:r w:rsidRPr="002025C4">
          <w:rPr>
            <w:b/>
            <w:color w:val="984806" w:themeColor="accent6" w:themeShade="80"/>
          </w:rPr>
          <w:fldChar w:fldCharType="begin"/>
        </w:r>
        <w:r w:rsidRPr="002025C4">
          <w:rPr>
            <w:b/>
            <w:color w:val="984806" w:themeColor="accent6" w:themeShade="80"/>
          </w:rPr>
          <w:instrText>PAGE   \* MERGEFORMAT</w:instrText>
        </w:r>
        <w:r w:rsidRPr="002025C4">
          <w:rPr>
            <w:b/>
            <w:color w:val="984806" w:themeColor="accent6" w:themeShade="80"/>
          </w:rPr>
          <w:fldChar w:fldCharType="separate"/>
        </w:r>
        <w:r w:rsidR="00015CD0" w:rsidRPr="00015CD0">
          <w:rPr>
            <w:b/>
            <w:noProof/>
            <w:color w:val="984806" w:themeColor="accent6" w:themeShade="80"/>
            <w:lang w:val="es-ES"/>
          </w:rPr>
          <w:t>1</w:t>
        </w:r>
        <w:r w:rsidRPr="002025C4">
          <w:rPr>
            <w:b/>
            <w:color w:val="984806" w:themeColor="accent6" w:themeShade="8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9F8" w:rsidRDefault="00F879F8" w:rsidP="008144CC">
      <w:r>
        <w:separator/>
      </w:r>
    </w:p>
  </w:footnote>
  <w:footnote w:type="continuationSeparator" w:id="0">
    <w:p w:rsidR="00F879F8" w:rsidRDefault="00F879F8" w:rsidP="00814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9F8" w:rsidRPr="00894664" w:rsidRDefault="00F879F8" w:rsidP="00894664">
    <w:pPr>
      <w:pStyle w:val="Encabezado"/>
      <w:jc w:val="right"/>
      <w:rPr>
        <w:rFonts w:asciiTheme="minorHAnsi" w:hAnsiTheme="minorHAnsi"/>
        <w:i/>
        <w:sz w:val="18"/>
        <w:szCs w:val="18"/>
      </w:rPr>
    </w:pPr>
    <w:r>
      <w:rPr>
        <w:rFonts w:asciiTheme="minorHAnsi" w:hAnsiTheme="minorHAnsi"/>
        <w:b/>
        <w:i/>
        <w:sz w:val="18"/>
        <w:szCs w:val="18"/>
      </w:rPr>
      <w:t xml:space="preserve">Albertos Gómez. Desarrollo de la competencia científica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C1612E2"/>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A8F40F54"/>
    <w:lvl w:ilvl="0">
      <w:start w:val="1"/>
      <w:numFmt w:val="decimal"/>
      <w:lvlText w:val="%1."/>
      <w:lvlJc w:val="left"/>
      <w:pPr>
        <w:tabs>
          <w:tab w:val="num" w:pos="643"/>
        </w:tabs>
        <w:ind w:left="643" w:hanging="360"/>
      </w:pPr>
    </w:lvl>
  </w:abstractNum>
  <w:abstractNum w:abstractNumId="2" w15:restartNumberingAfterBreak="0">
    <w:nsid w:val="025C2831"/>
    <w:multiLevelType w:val="multilevel"/>
    <w:tmpl w:val="5E3823E8"/>
    <w:lvl w:ilvl="0">
      <w:start w:val="1"/>
      <w:numFmt w:val="decimal"/>
      <w:suff w:val="space"/>
      <w:lvlText w:val="%1."/>
      <w:lvlJc w:val="left"/>
      <w:pPr>
        <w:ind w:left="360" w:hanging="360"/>
      </w:pPr>
      <w:rPr>
        <w:rFonts w:ascii="Times New Roman" w:hAnsi="Times New Roman" w:hint="default"/>
        <w:b/>
        <w:bCs/>
        <w:i w:val="0"/>
        <w:iCs w:val="0"/>
        <w:sz w:val="20"/>
        <w:szCs w:val="20"/>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360" w:hanging="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30B5992"/>
    <w:multiLevelType w:val="hybridMultilevel"/>
    <w:tmpl w:val="DF206350"/>
    <w:lvl w:ilvl="0" w:tplc="0D1AE02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4E20328"/>
    <w:multiLevelType w:val="hybridMultilevel"/>
    <w:tmpl w:val="A2B47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E37CA9"/>
    <w:multiLevelType w:val="multilevel"/>
    <w:tmpl w:val="4156D44A"/>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360" w:hanging="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3804C0C"/>
    <w:multiLevelType w:val="multilevel"/>
    <w:tmpl w:val="49465E86"/>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tabs>
          <w:tab w:val="num" w:pos="360"/>
        </w:tabs>
        <w:ind w:left="360" w:hanging="360"/>
      </w:pPr>
      <w:rPr>
        <w:rFonts w:hint="default"/>
      </w:rPr>
    </w:lvl>
    <w:lvl w:ilvl="2">
      <w:start w:val="1"/>
      <w:numFmt w:val="decimal"/>
      <w:suff w:val="space"/>
      <w:lvlText w:val="%1.%2.%3."/>
      <w:lvlJc w:val="left"/>
      <w:pPr>
        <w:ind w:left="360" w:hanging="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4E252DA"/>
    <w:multiLevelType w:val="hybridMultilevel"/>
    <w:tmpl w:val="CFF21C94"/>
    <w:lvl w:ilvl="0" w:tplc="AC604F28">
      <w:start w:val="1"/>
      <w:numFmt w:val="decimal"/>
      <w:lvlText w:val="%1."/>
      <w:lvlJc w:val="left"/>
      <w:pPr>
        <w:ind w:left="720" w:hanging="360"/>
      </w:pPr>
      <w:rPr>
        <w:rFonts w:ascii="Times New Roman" w:eastAsia="Calibri" w:hAnsi="Times New Roman"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 w15:restartNumberingAfterBreak="0">
    <w:nsid w:val="177E7506"/>
    <w:multiLevelType w:val="hybridMultilevel"/>
    <w:tmpl w:val="9586D7EA"/>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9" w15:restartNumberingAfterBreak="0">
    <w:nsid w:val="1FC804CA"/>
    <w:multiLevelType w:val="hybridMultilevel"/>
    <w:tmpl w:val="1326EA98"/>
    <w:lvl w:ilvl="0" w:tplc="5558A6FA">
      <w:start w:val="1"/>
      <w:numFmt w:val="bullet"/>
      <w:pStyle w:val="phmbulletlist"/>
      <w:lvlText w:val=""/>
      <w:lvlJc w:val="left"/>
      <w:pPr>
        <w:ind w:left="927" w:hanging="360"/>
      </w:pPr>
      <w:rPr>
        <w:rFonts w:ascii="Symbol" w:hAnsi="Symbol" w:hint="default"/>
      </w:rPr>
    </w:lvl>
    <w:lvl w:ilvl="1" w:tplc="04090003" w:tentative="1">
      <w:start w:val="1"/>
      <w:numFmt w:val="bullet"/>
      <w:lvlText w:val="o"/>
      <w:lvlJc w:val="left"/>
      <w:pPr>
        <w:ind w:left="2007" w:hanging="360"/>
      </w:pPr>
      <w:rPr>
        <w:rFonts w:ascii="Courier New" w:hAnsi="Courier New" w:cs="Symbol"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Symbol"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Symbol"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00D4037"/>
    <w:multiLevelType w:val="multilevel"/>
    <w:tmpl w:val="7BE8028C"/>
    <w:lvl w:ilvl="0">
      <w:start w:val="1"/>
      <w:numFmt w:val="decimal"/>
      <w:lvlText w:val="%1."/>
      <w:lvlJc w:val="left"/>
      <w:pPr>
        <w:ind w:left="432" w:hanging="432"/>
      </w:pPr>
      <w:rPr>
        <w:rFonts w:ascii="Times New Roman" w:hAnsi="Times New Roman" w:hint="default"/>
        <w:b/>
        <w:bCs/>
        <w:i w:val="0"/>
        <w:iCs w:val="0"/>
        <w:sz w:val="20"/>
        <w:szCs w:val="2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237E4B29"/>
    <w:multiLevelType w:val="hybridMultilevel"/>
    <w:tmpl w:val="EEF6D8E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51959C3"/>
    <w:multiLevelType w:val="hybridMultilevel"/>
    <w:tmpl w:val="314EE2D0"/>
    <w:lvl w:ilvl="0" w:tplc="33521824">
      <w:numFmt w:val="bullet"/>
      <w:lvlText w:val="-"/>
      <w:lvlJc w:val="left"/>
      <w:pPr>
        <w:ind w:left="1080" w:hanging="360"/>
      </w:pPr>
      <w:rPr>
        <w:rFonts w:ascii="Times New Roman" w:eastAsia="Times New Roman" w:hAnsi="Times New Roman"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15:restartNumberingAfterBreak="0">
    <w:nsid w:val="29920D13"/>
    <w:multiLevelType w:val="multilevel"/>
    <w:tmpl w:val="8B221B92"/>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2ADB60A7"/>
    <w:multiLevelType w:val="hybridMultilevel"/>
    <w:tmpl w:val="453EE0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ED297B"/>
    <w:multiLevelType w:val="hybridMultilevel"/>
    <w:tmpl w:val="2FC4DB72"/>
    <w:lvl w:ilvl="0" w:tplc="D752EB02">
      <w:start w:val="1"/>
      <w:numFmt w:val="decimal"/>
      <w:pStyle w:val="phmnumberlist"/>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777142"/>
    <w:multiLevelType w:val="hybridMultilevel"/>
    <w:tmpl w:val="3F38A87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4DB73F8"/>
    <w:multiLevelType w:val="multilevel"/>
    <w:tmpl w:val="00983C5C"/>
    <w:lvl w:ilvl="0">
      <w:start w:val="1"/>
      <w:numFmt w:val="decimal"/>
      <w:lvlText w:val="%1"/>
      <w:lvlJc w:val="left"/>
      <w:pPr>
        <w:ind w:left="432" w:hanging="432"/>
      </w:pPr>
      <w:rPr>
        <w:rFonts w:ascii="Times New Roman" w:hAnsi="Times New Roman" w:hint="default"/>
        <w:b/>
        <w:bCs/>
        <w:i w:val="0"/>
        <w:iCs w:val="0"/>
        <w:sz w:val="20"/>
        <w:szCs w:val="2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3B1733EF"/>
    <w:multiLevelType w:val="hybridMultilevel"/>
    <w:tmpl w:val="9AF405D0"/>
    <w:lvl w:ilvl="0" w:tplc="B606AAA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B8E752D"/>
    <w:multiLevelType w:val="multilevel"/>
    <w:tmpl w:val="01EE5AB6"/>
    <w:lvl w:ilvl="0">
      <w:start w:val="1"/>
      <w:numFmt w:val="decimal"/>
      <w:suff w:val="space"/>
      <w:lvlText w:val="%1."/>
      <w:lvlJc w:val="left"/>
      <w:pPr>
        <w:ind w:left="360" w:hanging="360"/>
      </w:pPr>
      <w:rPr>
        <w:rFonts w:ascii="Times New Roman" w:hAnsi="Times New Roman" w:hint="default"/>
        <w:b/>
        <w:bCs/>
        <w:i w:val="0"/>
        <w:iCs w:val="0"/>
        <w:sz w:val="20"/>
        <w:szCs w:val="20"/>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360" w:hanging="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3CF11BDC"/>
    <w:multiLevelType w:val="multilevel"/>
    <w:tmpl w:val="70D64FE4"/>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tabs>
          <w:tab w:val="num" w:pos="360"/>
        </w:tabs>
        <w:ind w:left="360" w:hanging="360"/>
      </w:pPr>
      <w:rPr>
        <w:rFonts w:hint="default"/>
      </w:rPr>
    </w:lvl>
    <w:lvl w:ilvl="2">
      <w:start w:val="1"/>
      <w:numFmt w:val="decimal"/>
      <w:pStyle w:val="Ttulo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49034839"/>
    <w:multiLevelType w:val="multilevel"/>
    <w:tmpl w:val="38AC97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Symbol"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9104106"/>
    <w:multiLevelType w:val="multilevel"/>
    <w:tmpl w:val="9B6C0568"/>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tabs>
          <w:tab w:val="num" w:pos="360"/>
        </w:tabs>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49A1753A"/>
    <w:multiLevelType w:val="hybridMultilevel"/>
    <w:tmpl w:val="131C898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C5F21F4"/>
    <w:multiLevelType w:val="multilevel"/>
    <w:tmpl w:val="09763E1E"/>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5E7A30D4"/>
    <w:multiLevelType w:val="hybridMultilevel"/>
    <w:tmpl w:val="3594BE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EF1107C"/>
    <w:multiLevelType w:val="multilevel"/>
    <w:tmpl w:val="9E70D7EE"/>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637D752E"/>
    <w:multiLevelType w:val="multilevel"/>
    <w:tmpl w:val="FBA0AE2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Symbol"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3E34C6B"/>
    <w:multiLevelType w:val="hybridMultilevel"/>
    <w:tmpl w:val="A970E0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48B65CB"/>
    <w:multiLevelType w:val="multilevel"/>
    <w:tmpl w:val="9462D6F4"/>
    <w:lvl w:ilvl="0">
      <w:start w:val="1"/>
      <w:numFmt w:val="decimal"/>
      <w:lvlText w:val="%1."/>
      <w:lvlJc w:val="left"/>
      <w:pPr>
        <w:ind w:left="360" w:hanging="36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3"/>
      <w:numFmt w:val="none"/>
      <w:lvlText w:val=""/>
      <w:lvlJc w:val="left"/>
      <w:pPr>
        <w:tabs>
          <w:tab w:val="num" w:pos="792"/>
        </w:tabs>
        <w:ind w:left="792" w:hanging="432"/>
      </w:pPr>
      <w:rPr>
        <w:rFonts w:hint="default"/>
      </w:rPr>
    </w:lvl>
    <w:lvl w:ilvl="2">
      <w:start w:val="1"/>
      <w:numFmt w:val="none"/>
      <w:lvlText w:val=""/>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0" w15:restartNumberingAfterBreak="0">
    <w:nsid w:val="67161246"/>
    <w:multiLevelType w:val="multilevel"/>
    <w:tmpl w:val="6430250E"/>
    <w:lvl w:ilvl="0">
      <w:start w:val="1"/>
      <w:numFmt w:val="decimal"/>
      <w:lvlText w:val="%1."/>
      <w:lvlJc w:val="left"/>
      <w:pPr>
        <w:ind w:left="360" w:hanging="360"/>
      </w:pPr>
      <w:rPr>
        <w:rFonts w:hint="default"/>
      </w:rPr>
    </w:lvl>
    <w:lvl w:ilvl="1">
      <w:start w:val="1"/>
      <w:numFmt w:val="decimal"/>
      <w:pStyle w:val="Titulodelapartad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7957EBC"/>
    <w:multiLevelType w:val="multilevel"/>
    <w:tmpl w:val="73284F36"/>
    <w:lvl w:ilvl="0">
      <w:start w:val="1"/>
      <w:numFmt w:val="decimal"/>
      <w:pStyle w:val="Encabezado1"/>
      <w:lvlText w:val="%1."/>
      <w:lvlJc w:val="left"/>
      <w:pPr>
        <w:ind w:left="720" w:hanging="360"/>
      </w:pPr>
      <w:rPr>
        <w:rFonts w:hint="default"/>
      </w:rPr>
    </w:lvl>
    <w:lvl w:ilvl="1">
      <w:start w:val="1"/>
      <w:numFmt w:val="decimal"/>
      <w:isLgl/>
      <w:lvlText w:val="%1.%2"/>
      <w:lvlJc w:val="left"/>
      <w:pPr>
        <w:ind w:left="1003" w:hanging="540"/>
      </w:pPr>
      <w:rPr>
        <w:rFonts w:hint="default"/>
      </w:rPr>
    </w:lvl>
    <w:lvl w:ilvl="2">
      <w:start w:val="1"/>
      <w:numFmt w:val="decimal"/>
      <w:isLgl/>
      <w:lvlText w:val="%1.%2.%3"/>
      <w:lvlJc w:val="left"/>
      <w:pPr>
        <w:ind w:left="1713" w:hanging="720"/>
      </w:pPr>
      <w:rPr>
        <w:rFonts w:hint="default"/>
        <w:i w:val="0"/>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32" w15:restartNumberingAfterBreak="0">
    <w:nsid w:val="687409EC"/>
    <w:multiLevelType w:val="multilevel"/>
    <w:tmpl w:val="7CF662D2"/>
    <w:lvl w:ilvl="0">
      <w:start w:val="1"/>
      <w:numFmt w:val="decimal"/>
      <w:suff w:val="space"/>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360" w:hanging="360"/>
      </w:pPr>
      <w:rPr>
        <w:rFonts w:hint="default"/>
      </w:rPr>
    </w:lvl>
    <w:lvl w:ilvl="2">
      <w:start w:val="1"/>
      <w:numFmt w:val="decimal"/>
      <w:pStyle w:val="phmheading3"/>
      <w:suff w:val="space"/>
      <w:lvlText w:val="%1.%2.%3."/>
      <w:lvlJc w:val="left"/>
      <w:pPr>
        <w:ind w:left="360" w:hanging="36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33" w15:restartNumberingAfterBreak="0">
    <w:nsid w:val="68D33AAD"/>
    <w:multiLevelType w:val="multilevel"/>
    <w:tmpl w:val="02EEE80C"/>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6C053F2F"/>
    <w:multiLevelType w:val="hybridMultilevel"/>
    <w:tmpl w:val="FFCCBA80"/>
    <w:lvl w:ilvl="0" w:tplc="1714AD3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1DB2247"/>
    <w:multiLevelType w:val="multilevel"/>
    <w:tmpl w:val="63CCE6D2"/>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15:restartNumberingAfterBreak="0">
    <w:nsid w:val="7A607EB5"/>
    <w:multiLevelType w:val="hybridMultilevel"/>
    <w:tmpl w:val="776005F8"/>
    <w:lvl w:ilvl="0" w:tplc="7EB44DA0">
      <w:start w:val="1"/>
      <w:numFmt w:val="lowerLetter"/>
      <w:lvlText w:val="%1)"/>
      <w:lvlJc w:val="left"/>
      <w:pPr>
        <w:ind w:left="1440" w:hanging="360"/>
      </w:pPr>
      <w:rPr>
        <w:rFonts w:cs="Times New Roman" w:hint="default"/>
      </w:rPr>
    </w:lvl>
    <w:lvl w:ilvl="1" w:tplc="0C0A0019" w:tentative="1">
      <w:start w:val="1"/>
      <w:numFmt w:val="lowerLetter"/>
      <w:lvlText w:val="%2."/>
      <w:lvlJc w:val="left"/>
      <w:pPr>
        <w:ind w:left="2160" w:hanging="360"/>
      </w:pPr>
      <w:rPr>
        <w:rFonts w:cs="Times New Roman"/>
      </w:rPr>
    </w:lvl>
    <w:lvl w:ilvl="2" w:tplc="0C0A001B" w:tentative="1">
      <w:start w:val="1"/>
      <w:numFmt w:val="lowerRoman"/>
      <w:lvlText w:val="%3."/>
      <w:lvlJc w:val="right"/>
      <w:pPr>
        <w:ind w:left="2880" w:hanging="180"/>
      </w:pPr>
      <w:rPr>
        <w:rFonts w:cs="Times New Roman"/>
      </w:rPr>
    </w:lvl>
    <w:lvl w:ilvl="3" w:tplc="0C0A000F" w:tentative="1">
      <w:start w:val="1"/>
      <w:numFmt w:val="decimal"/>
      <w:lvlText w:val="%4."/>
      <w:lvlJc w:val="left"/>
      <w:pPr>
        <w:ind w:left="3600" w:hanging="360"/>
      </w:pPr>
      <w:rPr>
        <w:rFonts w:cs="Times New Roman"/>
      </w:rPr>
    </w:lvl>
    <w:lvl w:ilvl="4" w:tplc="0C0A0019" w:tentative="1">
      <w:start w:val="1"/>
      <w:numFmt w:val="lowerLetter"/>
      <w:lvlText w:val="%5."/>
      <w:lvlJc w:val="left"/>
      <w:pPr>
        <w:ind w:left="4320" w:hanging="360"/>
      </w:pPr>
      <w:rPr>
        <w:rFonts w:cs="Times New Roman"/>
      </w:rPr>
    </w:lvl>
    <w:lvl w:ilvl="5" w:tplc="0C0A001B" w:tentative="1">
      <w:start w:val="1"/>
      <w:numFmt w:val="lowerRoman"/>
      <w:lvlText w:val="%6."/>
      <w:lvlJc w:val="right"/>
      <w:pPr>
        <w:ind w:left="5040" w:hanging="180"/>
      </w:pPr>
      <w:rPr>
        <w:rFonts w:cs="Times New Roman"/>
      </w:rPr>
    </w:lvl>
    <w:lvl w:ilvl="6" w:tplc="0C0A000F" w:tentative="1">
      <w:start w:val="1"/>
      <w:numFmt w:val="decimal"/>
      <w:lvlText w:val="%7."/>
      <w:lvlJc w:val="left"/>
      <w:pPr>
        <w:ind w:left="5760" w:hanging="360"/>
      </w:pPr>
      <w:rPr>
        <w:rFonts w:cs="Times New Roman"/>
      </w:rPr>
    </w:lvl>
    <w:lvl w:ilvl="7" w:tplc="0C0A0019" w:tentative="1">
      <w:start w:val="1"/>
      <w:numFmt w:val="lowerLetter"/>
      <w:lvlText w:val="%8."/>
      <w:lvlJc w:val="left"/>
      <w:pPr>
        <w:ind w:left="6480" w:hanging="360"/>
      </w:pPr>
      <w:rPr>
        <w:rFonts w:cs="Times New Roman"/>
      </w:rPr>
    </w:lvl>
    <w:lvl w:ilvl="8" w:tplc="0C0A001B" w:tentative="1">
      <w:start w:val="1"/>
      <w:numFmt w:val="lowerRoman"/>
      <w:lvlText w:val="%9."/>
      <w:lvlJc w:val="right"/>
      <w:pPr>
        <w:ind w:left="7200" w:hanging="180"/>
      </w:pPr>
      <w:rPr>
        <w:rFonts w:cs="Times New Roman"/>
      </w:rPr>
    </w:lvl>
  </w:abstractNum>
  <w:abstractNum w:abstractNumId="37" w15:restartNumberingAfterBreak="0">
    <w:nsid w:val="7FA51F01"/>
    <w:multiLevelType w:val="multilevel"/>
    <w:tmpl w:val="C90A40F4"/>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37"/>
  </w:num>
  <w:num w:numId="2">
    <w:abstractNumId w:val="17"/>
  </w:num>
  <w:num w:numId="3">
    <w:abstractNumId w:val="10"/>
  </w:num>
  <w:num w:numId="4">
    <w:abstractNumId w:val="26"/>
  </w:num>
  <w:num w:numId="5">
    <w:abstractNumId w:val="20"/>
  </w:num>
  <w:num w:numId="6">
    <w:abstractNumId w:val="24"/>
  </w:num>
  <w:num w:numId="7">
    <w:abstractNumId w:val="13"/>
  </w:num>
  <w:num w:numId="8">
    <w:abstractNumId w:val="22"/>
  </w:num>
  <w:num w:numId="9">
    <w:abstractNumId w:val="32"/>
  </w:num>
  <w:num w:numId="10">
    <w:abstractNumId w:val="33"/>
  </w:num>
  <w:num w:numId="11">
    <w:abstractNumId w:val="35"/>
  </w:num>
  <w:num w:numId="12">
    <w:abstractNumId w:val="6"/>
  </w:num>
  <w:num w:numId="13">
    <w:abstractNumId w:val="5"/>
  </w:num>
  <w:num w:numId="14">
    <w:abstractNumId w:val="4"/>
  </w:num>
  <w:num w:numId="15">
    <w:abstractNumId w:val="9"/>
  </w:num>
  <w:num w:numId="16">
    <w:abstractNumId w:val="14"/>
  </w:num>
  <w:num w:numId="17">
    <w:abstractNumId w:val="2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21"/>
  </w:num>
  <w:num w:numId="20">
    <w:abstractNumId w:val="27"/>
  </w:num>
  <w:num w:numId="21">
    <w:abstractNumId w:val="15"/>
  </w:num>
  <w:num w:numId="22">
    <w:abstractNumId w:val="2"/>
  </w:num>
  <w:num w:numId="23">
    <w:abstractNumId w:val="15"/>
    <w:lvlOverride w:ilvl="0">
      <w:startOverride w:val="1"/>
    </w:lvlOverride>
  </w:num>
  <w:num w:numId="24">
    <w:abstractNumId w:val="32"/>
  </w:num>
  <w:num w:numId="25">
    <w:abstractNumId w:val="1"/>
  </w:num>
  <w:num w:numId="26">
    <w:abstractNumId w:val="0"/>
  </w:num>
  <w:num w:numId="27">
    <w:abstractNumId w:val="32"/>
    <w:lvlOverride w:ilvl="0">
      <w:startOverride w:val="1"/>
    </w:lvlOverride>
  </w:num>
  <w:num w:numId="28">
    <w:abstractNumId w:val="19"/>
  </w:num>
  <w:num w:numId="29">
    <w:abstractNumId w:val="32"/>
    <w:lvlOverride w:ilvl="0">
      <w:startOverride w:val="1"/>
    </w:lvlOverride>
  </w:num>
  <w:num w:numId="30">
    <w:abstractNumId w:val="32"/>
    <w:lvlOverride w:ilvl="0">
      <w:startOverride w:val="1"/>
    </w:lvlOverride>
  </w:num>
  <w:num w:numId="31">
    <w:abstractNumId w:val="34"/>
  </w:num>
  <w:num w:numId="32">
    <w:abstractNumId w:val="32"/>
    <w:lvlOverride w:ilvl="0">
      <w:startOverride w:val="1"/>
    </w:lvlOverride>
  </w:num>
  <w:num w:numId="33">
    <w:abstractNumId w:val="8"/>
  </w:num>
  <w:num w:numId="34">
    <w:abstractNumId w:val="11"/>
  </w:num>
  <w:num w:numId="35">
    <w:abstractNumId w:val="28"/>
  </w:num>
  <w:num w:numId="36">
    <w:abstractNumId w:val="3"/>
  </w:num>
  <w:num w:numId="37">
    <w:abstractNumId w:val="23"/>
  </w:num>
  <w:num w:numId="38">
    <w:abstractNumId w:val="16"/>
  </w:num>
  <w:num w:numId="39">
    <w:abstractNumId w:val="31"/>
  </w:num>
  <w:num w:numId="40">
    <w:abstractNumId w:val="18"/>
  </w:num>
  <w:num w:numId="41">
    <w:abstractNumId w:val="30"/>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num>
  <w:num w:numId="44">
    <w:abstractNumId w:val="25"/>
  </w:num>
  <w:num w:numId="45">
    <w:abstractNumId w:val="12"/>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hideSpellingErrors/>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F62"/>
    <w:rsid w:val="0000321C"/>
    <w:rsid w:val="000032E0"/>
    <w:rsid w:val="000050D2"/>
    <w:rsid w:val="0001087E"/>
    <w:rsid w:val="000156AB"/>
    <w:rsid w:val="00015CD0"/>
    <w:rsid w:val="00024E01"/>
    <w:rsid w:val="00034CF5"/>
    <w:rsid w:val="000536B8"/>
    <w:rsid w:val="000561F7"/>
    <w:rsid w:val="00056C35"/>
    <w:rsid w:val="0009337E"/>
    <w:rsid w:val="000962FC"/>
    <w:rsid w:val="000A139C"/>
    <w:rsid w:val="000A7728"/>
    <w:rsid w:val="000B4458"/>
    <w:rsid w:val="000B45B1"/>
    <w:rsid w:val="000C0444"/>
    <w:rsid w:val="000C5181"/>
    <w:rsid w:val="000C521E"/>
    <w:rsid w:val="000C5472"/>
    <w:rsid w:val="000C55C5"/>
    <w:rsid w:val="000D0A6D"/>
    <w:rsid w:val="000D0B13"/>
    <w:rsid w:val="000D1DFE"/>
    <w:rsid w:val="000D4DA0"/>
    <w:rsid w:val="000D5E9F"/>
    <w:rsid w:val="000E76EC"/>
    <w:rsid w:val="00105693"/>
    <w:rsid w:val="00105A72"/>
    <w:rsid w:val="00106C04"/>
    <w:rsid w:val="00107C6A"/>
    <w:rsid w:val="00123234"/>
    <w:rsid w:val="001261A8"/>
    <w:rsid w:val="00132E72"/>
    <w:rsid w:val="0013331D"/>
    <w:rsid w:val="001469D4"/>
    <w:rsid w:val="001503CF"/>
    <w:rsid w:val="001503F1"/>
    <w:rsid w:val="0015748E"/>
    <w:rsid w:val="001719A1"/>
    <w:rsid w:val="00174F9A"/>
    <w:rsid w:val="00182773"/>
    <w:rsid w:val="0018349F"/>
    <w:rsid w:val="00184FF7"/>
    <w:rsid w:val="001860BF"/>
    <w:rsid w:val="00194098"/>
    <w:rsid w:val="001948FF"/>
    <w:rsid w:val="00196B78"/>
    <w:rsid w:val="001A4B99"/>
    <w:rsid w:val="001B14E9"/>
    <w:rsid w:val="001C58FD"/>
    <w:rsid w:val="001E1404"/>
    <w:rsid w:val="001F4945"/>
    <w:rsid w:val="001F60B1"/>
    <w:rsid w:val="00200B1D"/>
    <w:rsid w:val="00201404"/>
    <w:rsid w:val="002025C4"/>
    <w:rsid w:val="00203688"/>
    <w:rsid w:val="002074EB"/>
    <w:rsid w:val="00207F76"/>
    <w:rsid w:val="00223E18"/>
    <w:rsid w:val="00224802"/>
    <w:rsid w:val="0022710B"/>
    <w:rsid w:val="00230F62"/>
    <w:rsid w:val="002315C9"/>
    <w:rsid w:val="00247A33"/>
    <w:rsid w:val="00256DA7"/>
    <w:rsid w:val="00270A24"/>
    <w:rsid w:val="002739DE"/>
    <w:rsid w:val="00275783"/>
    <w:rsid w:val="00277B65"/>
    <w:rsid w:val="00294FCC"/>
    <w:rsid w:val="002A1DE1"/>
    <w:rsid w:val="002A21D4"/>
    <w:rsid w:val="002B0E45"/>
    <w:rsid w:val="002B6BA8"/>
    <w:rsid w:val="002B719F"/>
    <w:rsid w:val="002C2DA8"/>
    <w:rsid w:val="002C6AEB"/>
    <w:rsid w:val="002D488F"/>
    <w:rsid w:val="002D5BD3"/>
    <w:rsid w:val="002D7945"/>
    <w:rsid w:val="003031F8"/>
    <w:rsid w:val="00320CCC"/>
    <w:rsid w:val="00346C15"/>
    <w:rsid w:val="00352B81"/>
    <w:rsid w:val="003545F1"/>
    <w:rsid w:val="003554CC"/>
    <w:rsid w:val="0035670A"/>
    <w:rsid w:val="00363B84"/>
    <w:rsid w:val="0036697D"/>
    <w:rsid w:val="00375629"/>
    <w:rsid w:val="00375D4A"/>
    <w:rsid w:val="00377240"/>
    <w:rsid w:val="00377477"/>
    <w:rsid w:val="0038019F"/>
    <w:rsid w:val="00380EA1"/>
    <w:rsid w:val="003823C9"/>
    <w:rsid w:val="00384196"/>
    <w:rsid w:val="00391C39"/>
    <w:rsid w:val="00393782"/>
    <w:rsid w:val="00393CEF"/>
    <w:rsid w:val="003A165E"/>
    <w:rsid w:val="003A1BF0"/>
    <w:rsid w:val="003A7C83"/>
    <w:rsid w:val="003B5585"/>
    <w:rsid w:val="003B56E5"/>
    <w:rsid w:val="003C1B4D"/>
    <w:rsid w:val="003D0FC8"/>
    <w:rsid w:val="003D273E"/>
    <w:rsid w:val="003E2C8E"/>
    <w:rsid w:val="00410BB7"/>
    <w:rsid w:val="00426A27"/>
    <w:rsid w:val="00427C47"/>
    <w:rsid w:val="004464E6"/>
    <w:rsid w:val="00451919"/>
    <w:rsid w:val="0045455A"/>
    <w:rsid w:val="00454BAB"/>
    <w:rsid w:val="0045659A"/>
    <w:rsid w:val="0046410B"/>
    <w:rsid w:val="00471387"/>
    <w:rsid w:val="0047187D"/>
    <w:rsid w:val="00481AE6"/>
    <w:rsid w:val="0049224D"/>
    <w:rsid w:val="00492514"/>
    <w:rsid w:val="00493BE7"/>
    <w:rsid w:val="004B410F"/>
    <w:rsid w:val="004C0729"/>
    <w:rsid w:val="004C27E1"/>
    <w:rsid w:val="004C6342"/>
    <w:rsid w:val="004C6C58"/>
    <w:rsid w:val="004D2E97"/>
    <w:rsid w:val="004E5EC5"/>
    <w:rsid w:val="004F3A38"/>
    <w:rsid w:val="005063B8"/>
    <w:rsid w:val="005111B9"/>
    <w:rsid w:val="00522637"/>
    <w:rsid w:val="00522775"/>
    <w:rsid w:val="00523AE6"/>
    <w:rsid w:val="00524AE2"/>
    <w:rsid w:val="005311C3"/>
    <w:rsid w:val="00532FF9"/>
    <w:rsid w:val="005404EE"/>
    <w:rsid w:val="00541637"/>
    <w:rsid w:val="005417F2"/>
    <w:rsid w:val="00541DEB"/>
    <w:rsid w:val="00566D7B"/>
    <w:rsid w:val="0057149A"/>
    <w:rsid w:val="00571F28"/>
    <w:rsid w:val="00590B80"/>
    <w:rsid w:val="005A231F"/>
    <w:rsid w:val="005A77AD"/>
    <w:rsid w:val="005B1959"/>
    <w:rsid w:val="005C2A5A"/>
    <w:rsid w:val="005C56C3"/>
    <w:rsid w:val="005E41A7"/>
    <w:rsid w:val="00602395"/>
    <w:rsid w:val="00620E87"/>
    <w:rsid w:val="0062314B"/>
    <w:rsid w:val="00632BCC"/>
    <w:rsid w:val="006342F8"/>
    <w:rsid w:val="00634445"/>
    <w:rsid w:val="0064488B"/>
    <w:rsid w:val="0064653F"/>
    <w:rsid w:val="00657827"/>
    <w:rsid w:val="006631C2"/>
    <w:rsid w:val="0066604D"/>
    <w:rsid w:val="00666FD2"/>
    <w:rsid w:val="006739AB"/>
    <w:rsid w:val="00673B7F"/>
    <w:rsid w:val="006813A1"/>
    <w:rsid w:val="00681E15"/>
    <w:rsid w:val="0068344E"/>
    <w:rsid w:val="0068694B"/>
    <w:rsid w:val="00693373"/>
    <w:rsid w:val="006936B4"/>
    <w:rsid w:val="006957F0"/>
    <w:rsid w:val="006A1CDA"/>
    <w:rsid w:val="006B0969"/>
    <w:rsid w:val="006B24FA"/>
    <w:rsid w:val="006B4083"/>
    <w:rsid w:val="006C4896"/>
    <w:rsid w:val="006C4905"/>
    <w:rsid w:val="006D7488"/>
    <w:rsid w:val="006E7AC9"/>
    <w:rsid w:val="00721418"/>
    <w:rsid w:val="00726D2C"/>
    <w:rsid w:val="00727207"/>
    <w:rsid w:val="00732FFE"/>
    <w:rsid w:val="0075575B"/>
    <w:rsid w:val="0076666C"/>
    <w:rsid w:val="00771C3F"/>
    <w:rsid w:val="00772D1F"/>
    <w:rsid w:val="00772E5C"/>
    <w:rsid w:val="007733EE"/>
    <w:rsid w:val="00777B38"/>
    <w:rsid w:val="00786571"/>
    <w:rsid w:val="0079115C"/>
    <w:rsid w:val="00791AAD"/>
    <w:rsid w:val="00792BAE"/>
    <w:rsid w:val="007A255D"/>
    <w:rsid w:val="007A6B28"/>
    <w:rsid w:val="007C0B7A"/>
    <w:rsid w:val="007C14BE"/>
    <w:rsid w:val="007C2439"/>
    <w:rsid w:val="007C289B"/>
    <w:rsid w:val="007C3AFA"/>
    <w:rsid w:val="007C4B72"/>
    <w:rsid w:val="007D5E88"/>
    <w:rsid w:val="007D78A2"/>
    <w:rsid w:val="007F056C"/>
    <w:rsid w:val="00800124"/>
    <w:rsid w:val="008013F8"/>
    <w:rsid w:val="00806299"/>
    <w:rsid w:val="00813E32"/>
    <w:rsid w:val="008144CC"/>
    <w:rsid w:val="00814F9F"/>
    <w:rsid w:val="00822332"/>
    <w:rsid w:val="00824004"/>
    <w:rsid w:val="00830404"/>
    <w:rsid w:val="008413C3"/>
    <w:rsid w:val="00852395"/>
    <w:rsid w:val="0085692B"/>
    <w:rsid w:val="008719B0"/>
    <w:rsid w:val="00881AAE"/>
    <w:rsid w:val="00886B8A"/>
    <w:rsid w:val="00894664"/>
    <w:rsid w:val="008A3C23"/>
    <w:rsid w:val="008A414E"/>
    <w:rsid w:val="008C2638"/>
    <w:rsid w:val="008C5231"/>
    <w:rsid w:val="008C749C"/>
    <w:rsid w:val="008D0207"/>
    <w:rsid w:val="008D0B4F"/>
    <w:rsid w:val="008D2783"/>
    <w:rsid w:val="008E14ED"/>
    <w:rsid w:val="008E7D1A"/>
    <w:rsid w:val="008F4A14"/>
    <w:rsid w:val="00906988"/>
    <w:rsid w:val="00911FE2"/>
    <w:rsid w:val="00912774"/>
    <w:rsid w:val="0091359B"/>
    <w:rsid w:val="00920B22"/>
    <w:rsid w:val="009240E3"/>
    <w:rsid w:val="00925795"/>
    <w:rsid w:val="009262F6"/>
    <w:rsid w:val="00931CE8"/>
    <w:rsid w:val="00946429"/>
    <w:rsid w:val="00954231"/>
    <w:rsid w:val="00961056"/>
    <w:rsid w:val="009623CF"/>
    <w:rsid w:val="00965DB6"/>
    <w:rsid w:val="00970AB9"/>
    <w:rsid w:val="009726D3"/>
    <w:rsid w:val="00982A50"/>
    <w:rsid w:val="00984D30"/>
    <w:rsid w:val="00985F5D"/>
    <w:rsid w:val="00990A92"/>
    <w:rsid w:val="009B31FE"/>
    <w:rsid w:val="009B588A"/>
    <w:rsid w:val="009D4B13"/>
    <w:rsid w:val="009D7D9F"/>
    <w:rsid w:val="009E3A08"/>
    <w:rsid w:val="009E48FD"/>
    <w:rsid w:val="009F19F9"/>
    <w:rsid w:val="009F2109"/>
    <w:rsid w:val="009F3D79"/>
    <w:rsid w:val="009F5DD0"/>
    <w:rsid w:val="00A037C8"/>
    <w:rsid w:val="00A03C1D"/>
    <w:rsid w:val="00A044F3"/>
    <w:rsid w:val="00A13AA8"/>
    <w:rsid w:val="00A30A76"/>
    <w:rsid w:val="00A41BC7"/>
    <w:rsid w:val="00A52D8C"/>
    <w:rsid w:val="00A55D79"/>
    <w:rsid w:val="00A563F9"/>
    <w:rsid w:val="00A60983"/>
    <w:rsid w:val="00A65C7E"/>
    <w:rsid w:val="00A66DCF"/>
    <w:rsid w:val="00A7482F"/>
    <w:rsid w:val="00A91E0C"/>
    <w:rsid w:val="00A91F43"/>
    <w:rsid w:val="00A971E4"/>
    <w:rsid w:val="00AA14AA"/>
    <w:rsid w:val="00AA4E77"/>
    <w:rsid w:val="00AA75C0"/>
    <w:rsid w:val="00AB3205"/>
    <w:rsid w:val="00AB66C3"/>
    <w:rsid w:val="00AC6A30"/>
    <w:rsid w:val="00AD273B"/>
    <w:rsid w:val="00AF3005"/>
    <w:rsid w:val="00AF34C6"/>
    <w:rsid w:val="00AF729B"/>
    <w:rsid w:val="00B0498D"/>
    <w:rsid w:val="00B1631C"/>
    <w:rsid w:val="00B22B2A"/>
    <w:rsid w:val="00B2344A"/>
    <w:rsid w:val="00B25F6F"/>
    <w:rsid w:val="00B3685C"/>
    <w:rsid w:val="00B444B2"/>
    <w:rsid w:val="00B45153"/>
    <w:rsid w:val="00B47707"/>
    <w:rsid w:val="00B47E0B"/>
    <w:rsid w:val="00B51423"/>
    <w:rsid w:val="00B636AC"/>
    <w:rsid w:val="00B63B50"/>
    <w:rsid w:val="00B671AB"/>
    <w:rsid w:val="00B72739"/>
    <w:rsid w:val="00B72BD7"/>
    <w:rsid w:val="00B72E70"/>
    <w:rsid w:val="00B8186E"/>
    <w:rsid w:val="00B84881"/>
    <w:rsid w:val="00B951A6"/>
    <w:rsid w:val="00BA3F23"/>
    <w:rsid w:val="00BA64D1"/>
    <w:rsid w:val="00BB2761"/>
    <w:rsid w:val="00BB6266"/>
    <w:rsid w:val="00BB767E"/>
    <w:rsid w:val="00BD1545"/>
    <w:rsid w:val="00BD6216"/>
    <w:rsid w:val="00BE04D9"/>
    <w:rsid w:val="00BE2579"/>
    <w:rsid w:val="00C00F20"/>
    <w:rsid w:val="00C030E4"/>
    <w:rsid w:val="00C0322A"/>
    <w:rsid w:val="00C03A63"/>
    <w:rsid w:val="00C06999"/>
    <w:rsid w:val="00C247D2"/>
    <w:rsid w:val="00C3192C"/>
    <w:rsid w:val="00C365A7"/>
    <w:rsid w:val="00C43E1D"/>
    <w:rsid w:val="00C43E1E"/>
    <w:rsid w:val="00C46552"/>
    <w:rsid w:val="00C54D2D"/>
    <w:rsid w:val="00C6575D"/>
    <w:rsid w:val="00C65B7E"/>
    <w:rsid w:val="00C65E6F"/>
    <w:rsid w:val="00C90B10"/>
    <w:rsid w:val="00C91866"/>
    <w:rsid w:val="00C94DBB"/>
    <w:rsid w:val="00CA2719"/>
    <w:rsid w:val="00CA4586"/>
    <w:rsid w:val="00CA4C3B"/>
    <w:rsid w:val="00CB15E9"/>
    <w:rsid w:val="00CB4098"/>
    <w:rsid w:val="00CC3D17"/>
    <w:rsid w:val="00CC5A59"/>
    <w:rsid w:val="00CD2142"/>
    <w:rsid w:val="00CD770C"/>
    <w:rsid w:val="00CE5109"/>
    <w:rsid w:val="00D02547"/>
    <w:rsid w:val="00D127E1"/>
    <w:rsid w:val="00D16D06"/>
    <w:rsid w:val="00D26C5C"/>
    <w:rsid w:val="00D32905"/>
    <w:rsid w:val="00D500D6"/>
    <w:rsid w:val="00D5403B"/>
    <w:rsid w:val="00D56158"/>
    <w:rsid w:val="00D71FDF"/>
    <w:rsid w:val="00D86874"/>
    <w:rsid w:val="00D86B63"/>
    <w:rsid w:val="00D939E1"/>
    <w:rsid w:val="00DC2201"/>
    <w:rsid w:val="00DD7A7D"/>
    <w:rsid w:val="00DE4D49"/>
    <w:rsid w:val="00DF09D9"/>
    <w:rsid w:val="00DF3981"/>
    <w:rsid w:val="00DF53B2"/>
    <w:rsid w:val="00DF5A57"/>
    <w:rsid w:val="00E16B99"/>
    <w:rsid w:val="00E21B28"/>
    <w:rsid w:val="00E269FB"/>
    <w:rsid w:val="00E37DFA"/>
    <w:rsid w:val="00E41124"/>
    <w:rsid w:val="00E4196A"/>
    <w:rsid w:val="00E4372F"/>
    <w:rsid w:val="00E51FB9"/>
    <w:rsid w:val="00E54246"/>
    <w:rsid w:val="00E662A2"/>
    <w:rsid w:val="00E738A0"/>
    <w:rsid w:val="00E73C3F"/>
    <w:rsid w:val="00E779B1"/>
    <w:rsid w:val="00E87439"/>
    <w:rsid w:val="00E957A4"/>
    <w:rsid w:val="00EA09AF"/>
    <w:rsid w:val="00EA1891"/>
    <w:rsid w:val="00EA2594"/>
    <w:rsid w:val="00EA4ABE"/>
    <w:rsid w:val="00EA60A4"/>
    <w:rsid w:val="00EB28AA"/>
    <w:rsid w:val="00EB781E"/>
    <w:rsid w:val="00EC1C92"/>
    <w:rsid w:val="00ED6D01"/>
    <w:rsid w:val="00EE2135"/>
    <w:rsid w:val="00EF4CBC"/>
    <w:rsid w:val="00EF6365"/>
    <w:rsid w:val="00EF650E"/>
    <w:rsid w:val="00F00281"/>
    <w:rsid w:val="00F05EDD"/>
    <w:rsid w:val="00F06705"/>
    <w:rsid w:val="00F140D3"/>
    <w:rsid w:val="00F251B6"/>
    <w:rsid w:val="00F31042"/>
    <w:rsid w:val="00F32DBB"/>
    <w:rsid w:val="00F332DC"/>
    <w:rsid w:val="00F50FEE"/>
    <w:rsid w:val="00F554DB"/>
    <w:rsid w:val="00F6384C"/>
    <w:rsid w:val="00F66262"/>
    <w:rsid w:val="00F66E70"/>
    <w:rsid w:val="00F879F8"/>
    <w:rsid w:val="00F930DF"/>
    <w:rsid w:val="00F9757F"/>
    <w:rsid w:val="00FA1407"/>
    <w:rsid w:val="00FC39F9"/>
    <w:rsid w:val="00FC6C48"/>
    <w:rsid w:val="00FE541C"/>
    <w:rsid w:val="00FF631D"/>
    <w:rsid w:val="00FF66B0"/>
    <w:rsid w:val="00FF6FF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57203C43"/>
  <w15:docId w15:val="{C9965D16-3F22-45EA-9213-A8124AFA4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72739"/>
    <w:pPr>
      <w:jc w:val="both"/>
    </w:pPr>
    <w:rPr>
      <w:rFonts w:ascii="Times New Roman" w:hAnsi="Times New Roman"/>
      <w:sz w:val="20"/>
    </w:rPr>
  </w:style>
  <w:style w:type="paragraph" w:styleId="Ttulo2">
    <w:name w:val="heading 2"/>
    <w:basedOn w:val="Normal"/>
    <w:next w:val="Normal"/>
    <w:link w:val="Ttulo2Car"/>
    <w:uiPriority w:val="9"/>
    <w:semiHidden/>
    <w:unhideWhenUsed/>
    <w:rsid w:val="001B14E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36697D"/>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rsid w:val="008013F8"/>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rsid w:val="008013F8"/>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8013F8"/>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8013F8"/>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8013F8"/>
    <w:pPr>
      <w:keepNext/>
      <w:keepLines/>
      <w:numPr>
        <w:ilvl w:val="7"/>
        <w:numId w:val="9"/>
      </w:numPr>
      <w:spacing w:before="200"/>
      <w:outlineLvl w:val="7"/>
    </w:pPr>
    <w:rPr>
      <w:rFonts w:asciiTheme="majorHAnsi" w:eastAsiaTheme="majorEastAsia" w:hAnsiTheme="majorHAnsi" w:cstheme="majorBidi"/>
      <w:color w:val="404040" w:themeColor="text1" w:themeTint="BF"/>
      <w:szCs w:val="20"/>
    </w:rPr>
  </w:style>
  <w:style w:type="paragraph" w:styleId="Ttulo9">
    <w:name w:val="heading 9"/>
    <w:basedOn w:val="Normal"/>
    <w:next w:val="Normal"/>
    <w:link w:val="Ttulo9Car"/>
    <w:uiPriority w:val="9"/>
    <w:semiHidden/>
    <w:unhideWhenUsed/>
    <w:qFormat/>
    <w:rsid w:val="008013F8"/>
    <w:pPr>
      <w:keepNext/>
      <w:keepLines/>
      <w:numPr>
        <w:ilvl w:val="8"/>
        <w:numId w:val="9"/>
      </w:numPr>
      <w:spacing w:before="200"/>
      <w:outlineLvl w:val="8"/>
    </w:pPr>
    <w:rPr>
      <w:rFonts w:asciiTheme="majorHAnsi" w:eastAsiaTheme="majorEastAsia" w:hAnsiTheme="majorHAnsi" w:cstheme="majorBidi"/>
      <w:i/>
      <w:iCs/>
      <w:color w:val="404040" w:themeColor="text1" w:themeTint="BF"/>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27C47"/>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427C47"/>
    <w:rPr>
      <w:rFonts w:ascii="Lucida Grande" w:hAnsi="Lucida Grande"/>
      <w:sz w:val="18"/>
      <w:szCs w:val="18"/>
    </w:rPr>
  </w:style>
  <w:style w:type="paragraph" w:customStyle="1" w:styleId="phmnormal">
    <w:name w:val="phm_normal"/>
    <w:basedOn w:val="Normal"/>
    <w:link w:val="phmnormalCar"/>
    <w:rsid w:val="00A13AA8"/>
  </w:style>
  <w:style w:type="paragraph" w:customStyle="1" w:styleId="TtuloEspaol">
    <w:name w:val="Título_Español"/>
    <w:basedOn w:val="phmnormal"/>
    <w:link w:val="TtuloEspaolCar"/>
    <w:qFormat/>
    <w:rsid w:val="004464E6"/>
    <w:pPr>
      <w:spacing w:before="340" w:after="340"/>
      <w:jc w:val="center"/>
    </w:pPr>
    <w:rPr>
      <w:rFonts w:ascii="Cambria" w:hAnsi="Cambria" w:cs="Calibri Light"/>
      <w:b/>
      <w:noProof/>
      <w:sz w:val="34"/>
      <w:lang w:val="es-ES_tradnl"/>
    </w:rPr>
  </w:style>
  <w:style w:type="paragraph" w:customStyle="1" w:styleId="Autores">
    <w:name w:val="Autores"/>
    <w:basedOn w:val="phmnormal"/>
    <w:link w:val="AutoresCar"/>
    <w:qFormat/>
    <w:rsid w:val="004C6342"/>
    <w:pPr>
      <w:jc w:val="center"/>
    </w:pPr>
    <w:rPr>
      <w:b/>
      <w:sz w:val="24"/>
      <w:lang w:val="es-ES_tradnl"/>
    </w:rPr>
  </w:style>
  <w:style w:type="paragraph" w:customStyle="1" w:styleId="phmaffiliation">
    <w:name w:val="phm_affiliation"/>
    <w:basedOn w:val="phmnormal"/>
    <w:rsid w:val="00C365A7"/>
    <w:pPr>
      <w:spacing w:before="180" w:after="60"/>
      <w:jc w:val="center"/>
    </w:pPr>
    <w:rPr>
      <w:i/>
    </w:rPr>
  </w:style>
  <w:style w:type="paragraph" w:customStyle="1" w:styleId="phmemail">
    <w:name w:val="phm_email"/>
    <w:basedOn w:val="phmnormal"/>
    <w:rsid w:val="007733EE"/>
    <w:pPr>
      <w:jc w:val="center"/>
    </w:pPr>
    <w:rPr>
      <w:i/>
      <w:sz w:val="18"/>
    </w:rPr>
  </w:style>
  <w:style w:type="paragraph" w:customStyle="1" w:styleId="phmheadingnonumber">
    <w:name w:val="phm_heading_nonumber"/>
    <w:basedOn w:val="phmnormal"/>
    <w:next w:val="TextoNormal"/>
    <w:rsid w:val="00C03A63"/>
    <w:pPr>
      <w:spacing w:before="240" w:after="120"/>
      <w:jc w:val="left"/>
    </w:pPr>
    <w:rPr>
      <w:b/>
      <w:bCs/>
      <w:smallCaps/>
    </w:rPr>
  </w:style>
  <w:style w:type="paragraph" w:customStyle="1" w:styleId="TextoNormal">
    <w:name w:val="TextoNormal"/>
    <w:basedOn w:val="phmnormal"/>
    <w:link w:val="TextoNormalCar"/>
    <w:qFormat/>
    <w:rsid w:val="001503F1"/>
    <w:pPr>
      <w:ind w:firstLine="567"/>
    </w:pPr>
    <w:rPr>
      <w:sz w:val="24"/>
      <w:lang w:val="es-ES_tradnl"/>
    </w:rPr>
  </w:style>
  <w:style w:type="paragraph" w:customStyle="1" w:styleId="Encabezado1">
    <w:name w:val="Encabezado 1"/>
    <w:basedOn w:val="phmnormal"/>
    <w:next w:val="TextoNormal"/>
    <w:qFormat/>
    <w:rsid w:val="00EA60A4"/>
    <w:pPr>
      <w:keepNext/>
      <w:numPr>
        <w:numId w:val="39"/>
      </w:numPr>
      <w:spacing w:before="240" w:after="120"/>
      <w:ind w:left="284" w:hanging="284"/>
      <w:jc w:val="left"/>
      <w:outlineLvl w:val="0"/>
    </w:pPr>
    <w:rPr>
      <w:b/>
      <w:bCs/>
      <w:smallCaps/>
      <w:sz w:val="28"/>
      <w:lang w:val="es-ES_tradnl"/>
    </w:rPr>
  </w:style>
  <w:style w:type="paragraph" w:customStyle="1" w:styleId="Titulodelapartado">
    <w:name w:val="Titulo del apartado"/>
    <w:basedOn w:val="phmnormal"/>
    <w:next w:val="TextoNormal"/>
    <w:qFormat/>
    <w:rsid w:val="001503F1"/>
    <w:pPr>
      <w:keepNext/>
      <w:numPr>
        <w:ilvl w:val="1"/>
        <w:numId w:val="41"/>
      </w:numPr>
      <w:jc w:val="left"/>
      <w:outlineLvl w:val="1"/>
    </w:pPr>
    <w:rPr>
      <w:b/>
      <w:sz w:val="24"/>
    </w:rPr>
  </w:style>
  <w:style w:type="character" w:customStyle="1" w:styleId="Ttulo2Car">
    <w:name w:val="Título 2 Car"/>
    <w:basedOn w:val="Fuentedeprrafopredeter"/>
    <w:link w:val="Ttulo2"/>
    <w:uiPriority w:val="9"/>
    <w:semiHidden/>
    <w:rsid w:val="001B14E9"/>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36697D"/>
    <w:rPr>
      <w:rFonts w:asciiTheme="majorHAnsi" w:eastAsiaTheme="majorEastAsia" w:hAnsiTheme="majorHAnsi" w:cstheme="majorBidi"/>
      <w:b/>
      <w:bCs/>
      <w:color w:val="4F81BD" w:themeColor="accent1"/>
      <w:sz w:val="20"/>
    </w:rPr>
  </w:style>
  <w:style w:type="character" w:customStyle="1" w:styleId="Ttulo4Car">
    <w:name w:val="Título 4 Car"/>
    <w:basedOn w:val="Fuentedeprrafopredeter"/>
    <w:link w:val="Ttulo4"/>
    <w:uiPriority w:val="9"/>
    <w:rsid w:val="008013F8"/>
    <w:rPr>
      <w:rFonts w:asciiTheme="majorHAnsi" w:eastAsiaTheme="majorEastAsia" w:hAnsiTheme="majorHAnsi" w:cstheme="majorBidi"/>
      <w:b/>
      <w:bCs/>
      <w:i/>
      <w:iCs/>
      <w:color w:val="4F81BD" w:themeColor="accent1"/>
      <w:sz w:val="20"/>
    </w:rPr>
  </w:style>
  <w:style w:type="character" w:customStyle="1" w:styleId="Ttulo5Car">
    <w:name w:val="Título 5 Car"/>
    <w:basedOn w:val="Fuentedeprrafopredeter"/>
    <w:link w:val="Ttulo5"/>
    <w:uiPriority w:val="9"/>
    <w:semiHidden/>
    <w:rsid w:val="008013F8"/>
    <w:rPr>
      <w:rFonts w:asciiTheme="majorHAnsi" w:eastAsiaTheme="majorEastAsia" w:hAnsiTheme="majorHAnsi" w:cstheme="majorBidi"/>
      <w:color w:val="243F60" w:themeColor="accent1" w:themeShade="7F"/>
      <w:sz w:val="20"/>
    </w:rPr>
  </w:style>
  <w:style w:type="character" w:customStyle="1" w:styleId="Ttulo6Car">
    <w:name w:val="Título 6 Car"/>
    <w:basedOn w:val="Fuentedeprrafopredeter"/>
    <w:link w:val="Ttulo6"/>
    <w:uiPriority w:val="9"/>
    <w:semiHidden/>
    <w:rsid w:val="008013F8"/>
    <w:rPr>
      <w:rFonts w:asciiTheme="majorHAnsi" w:eastAsiaTheme="majorEastAsia" w:hAnsiTheme="majorHAnsi" w:cstheme="majorBidi"/>
      <w:i/>
      <w:iCs/>
      <w:color w:val="243F60" w:themeColor="accent1" w:themeShade="7F"/>
      <w:sz w:val="20"/>
    </w:rPr>
  </w:style>
  <w:style w:type="character" w:customStyle="1" w:styleId="Ttulo7Car">
    <w:name w:val="Título 7 Car"/>
    <w:basedOn w:val="Fuentedeprrafopredeter"/>
    <w:link w:val="Ttulo7"/>
    <w:uiPriority w:val="9"/>
    <w:semiHidden/>
    <w:rsid w:val="008013F8"/>
    <w:rPr>
      <w:rFonts w:asciiTheme="majorHAnsi" w:eastAsiaTheme="majorEastAsia" w:hAnsiTheme="majorHAnsi" w:cstheme="majorBidi"/>
      <w:i/>
      <w:iCs/>
      <w:color w:val="404040" w:themeColor="text1" w:themeTint="BF"/>
      <w:sz w:val="20"/>
    </w:rPr>
  </w:style>
  <w:style w:type="character" w:customStyle="1" w:styleId="Ttulo8Car">
    <w:name w:val="Título 8 Car"/>
    <w:basedOn w:val="Fuentedeprrafopredeter"/>
    <w:link w:val="Ttulo8"/>
    <w:uiPriority w:val="9"/>
    <w:semiHidden/>
    <w:rsid w:val="008013F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8013F8"/>
    <w:rPr>
      <w:rFonts w:asciiTheme="majorHAnsi" w:eastAsiaTheme="majorEastAsia" w:hAnsiTheme="majorHAnsi" w:cstheme="majorBidi"/>
      <w:i/>
      <w:iCs/>
      <w:color w:val="404040" w:themeColor="text1" w:themeTint="BF"/>
      <w:sz w:val="20"/>
      <w:szCs w:val="20"/>
    </w:rPr>
  </w:style>
  <w:style w:type="paragraph" w:customStyle="1" w:styleId="phmheading3">
    <w:name w:val="phm_heading3"/>
    <w:basedOn w:val="phmnormal"/>
    <w:next w:val="TextoNormal"/>
    <w:rsid w:val="008013F8"/>
    <w:pPr>
      <w:keepNext/>
      <w:numPr>
        <w:ilvl w:val="2"/>
        <w:numId w:val="9"/>
      </w:numPr>
      <w:spacing w:before="240" w:after="120"/>
      <w:jc w:val="left"/>
      <w:outlineLvl w:val="2"/>
    </w:pPr>
    <w:rPr>
      <w:b/>
    </w:rPr>
  </w:style>
  <w:style w:type="paragraph" w:customStyle="1" w:styleId="TtulosResumenAbstrac">
    <w:name w:val="TítulosResumenAbstrac"/>
    <w:basedOn w:val="TextoNormal"/>
    <w:rsid w:val="00B47E0B"/>
    <w:pPr>
      <w:ind w:left="851" w:firstLine="284"/>
    </w:pPr>
    <w:rPr>
      <w:b/>
      <w:bCs/>
      <w:smallCaps/>
      <w:sz w:val="20"/>
    </w:rPr>
  </w:style>
  <w:style w:type="table" w:customStyle="1" w:styleId="Tablanormal21">
    <w:name w:val="Tabla normal 21"/>
    <w:basedOn w:val="Tablanormal"/>
    <w:uiPriority w:val="42"/>
    <w:rsid w:val="00123234"/>
    <w:rPr>
      <w:rFonts w:eastAsiaTheme="minorHAnsi"/>
      <w:sz w:val="22"/>
      <w:szCs w:val="22"/>
      <w:lang w:val="es-E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xtoindependiente">
    <w:name w:val="Body Text"/>
    <w:basedOn w:val="Normal"/>
    <w:link w:val="TextoindependienteCar"/>
    <w:autoRedefine/>
    <w:semiHidden/>
    <w:rsid w:val="00532FF9"/>
    <w:pPr>
      <w:spacing w:after="120"/>
    </w:pPr>
    <w:rPr>
      <w:rFonts w:eastAsia="Times New Roman" w:cs="Times New Roman"/>
      <w:szCs w:val="18"/>
    </w:rPr>
  </w:style>
  <w:style w:type="character" w:customStyle="1" w:styleId="TextoindependienteCar">
    <w:name w:val="Texto independiente Car"/>
    <w:basedOn w:val="Fuentedeprrafopredeter"/>
    <w:link w:val="Textoindependiente"/>
    <w:semiHidden/>
    <w:rsid w:val="00532FF9"/>
    <w:rPr>
      <w:rFonts w:ascii="Times New Roman" w:eastAsia="Times New Roman" w:hAnsi="Times New Roman" w:cs="Times New Roman"/>
      <w:sz w:val="20"/>
      <w:szCs w:val="18"/>
    </w:rPr>
  </w:style>
  <w:style w:type="character" w:styleId="Hipervnculo">
    <w:name w:val="Hyperlink"/>
    <w:semiHidden/>
    <w:rsid w:val="00532FF9"/>
    <w:rPr>
      <w:color w:val="0000FF"/>
      <w:u w:val="single"/>
    </w:rPr>
  </w:style>
  <w:style w:type="paragraph" w:styleId="Encabezado">
    <w:name w:val="header"/>
    <w:aliases w:val="phm_header"/>
    <w:basedOn w:val="phmnormal"/>
    <w:link w:val="EncabezadoCar"/>
    <w:unhideWhenUsed/>
    <w:rsid w:val="008144CC"/>
    <w:pPr>
      <w:tabs>
        <w:tab w:val="center" w:pos="4320"/>
        <w:tab w:val="right" w:pos="8640"/>
      </w:tabs>
    </w:pPr>
  </w:style>
  <w:style w:type="character" w:customStyle="1" w:styleId="EncabezadoCar">
    <w:name w:val="Encabezado Car"/>
    <w:aliases w:val="phm_header Car"/>
    <w:basedOn w:val="Fuentedeprrafopredeter"/>
    <w:link w:val="Encabezado"/>
    <w:rsid w:val="008144CC"/>
    <w:rPr>
      <w:rFonts w:ascii="Times New Roman" w:hAnsi="Times New Roman"/>
      <w:sz w:val="20"/>
    </w:rPr>
  </w:style>
  <w:style w:type="paragraph" w:styleId="Descripcin">
    <w:name w:val="caption"/>
    <w:basedOn w:val="Normal"/>
    <w:next w:val="Normal"/>
    <w:uiPriority w:val="35"/>
    <w:unhideWhenUsed/>
    <w:qFormat/>
    <w:rsid w:val="00D02547"/>
    <w:pPr>
      <w:jc w:val="left"/>
    </w:pPr>
    <w:rPr>
      <w:rFonts w:eastAsia="SimSun" w:cs="Times New Roman"/>
      <w:b/>
      <w:bCs/>
      <w:szCs w:val="20"/>
    </w:rPr>
  </w:style>
  <w:style w:type="paragraph" w:customStyle="1" w:styleId="ijPHMReferences">
    <w:name w:val="ijPHM References"/>
    <w:basedOn w:val="Textoindependiente"/>
    <w:link w:val="ijPHMReferencesChar"/>
    <w:rsid w:val="0000321C"/>
    <w:pPr>
      <w:spacing w:after="0"/>
      <w:ind w:left="360" w:hanging="360"/>
    </w:pPr>
  </w:style>
  <w:style w:type="character" w:customStyle="1" w:styleId="ijPHMReferencesChar">
    <w:name w:val="ijPHM References Char"/>
    <w:basedOn w:val="TextoindependienteCar"/>
    <w:link w:val="ijPHMReferences"/>
    <w:rsid w:val="0000321C"/>
    <w:rPr>
      <w:rFonts w:ascii="Times New Roman" w:eastAsia="Times New Roman" w:hAnsi="Times New Roman" w:cs="Times New Roman"/>
      <w:sz w:val="20"/>
      <w:szCs w:val="18"/>
    </w:rPr>
  </w:style>
  <w:style w:type="paragraph" w:customStyle="1" w:styleId="Nomenclature">
    <w:name w:val="Nomenclature"/>
    <w:basedOn w:val="Normal"/>
    <w:rsid w:val="0000321C"/>
    <w:pPr>
      <w:widowControl w:val="0"/>
      <w:tabs>
        <w:tab w:val="left" w:pos="864"/>
        <w:tab w:val="left" w:pos="1152"/>
      </w:tabs>
    </w:pPr>
    <w:rPr>
      <w:rFonts w:eastAsia="Times New Roman" w:cs="Times New Roman"/>
      <w:szCs w:val="20"/>
    </w:rPr>
  </w:style>
  <w:style w:type="paragraph" w:customStyle="1" w:styleId="phmbulletlist">
    <w:name w:val="phm_bullet_list"/>
    <w:basedOn w:val="phmnormal"/>
    <w:next w:val="TextoNormal"/>
    <w:rsid w:val="00F140D3"/>
    <w:pPr>
      <w:numPr>
        <w:numId w:val="15"/>
      </w:numPr>
      <w:spacing w:after="60"/>
    </w:pPr>
  </w:style>
  <w:style w:type="paragraph" w:customStyle="1" w:styleId="phmnumberlist">
    <w:name w:val="phm_number_list"/>
    <w:basedOn w:val="phmnormal"/>
    <w:next w:val="TextoNormal"/>
    <w:rsid w:val="00954231"/>
    <w:pPr>
      <w:numPr>
        <w:numId w:val="21"/>
      </w:numPr>
      <w:spacing w:after="60"/>
    </w:pPr>
  </w:style>
  <w:style w:type="paragraph" w:customStyle="1" w:styleId="phmheading4">
    <w:name w:val="phm_heading4"/>
    <w:basedOn w:val="phmnormal"/>
    <w:next w:val="TextoNormal"/>
    <w:rsid w:val="001261A8"/>
    <w:pPr>
      <w:keepNext/>
      <w:spacing w:before="240" w:after="60"/>
      <w:jc w:val="left"/>
      <w:outlineLvl w:val="3"/>
    </w:pPr>
    <w:rPr>
      <w:b/>
    </w:rPr>
  </w:style>
  <w:style w:type="paragraph" w:customStyle="1" w:styleId="phmreference">
    <w:name w:val="phm_reference"/>
    <w:basedOn w:val="phmnormal"/>
    <w:rsid w:val="00B3685C"/>
    <w:pPr>
      <w:ind w:left="360" w:hanging="360"/>
    </w:pPr>
  </w:style>
  <w:style w:type="character" w:styleId="Nmerodepgina">
    <w:name w:val="page number"/>
    <w:basedOn w:val="Fuentedeprrafopredeter"/>
    <w:uiPriority w:val="99"/>
    <w:semiHidden/>
    <w:unhideWhenUsed/>
    <w:rsid w:val="00DF5A57"/>
  </w:style>
  <w:style w:type="paragraph" w:styleId="Textonotapie">
    <w:name w:val="footnote text"/>
    <w:basedOn w:val="Normal"/>
    <w:link w:val="TextonotapieCar"/>
    <w:uiPriority w:val="99"/>
    <w:unhideWhenUsed/>
    <w:rsid w:val="00BE2579"/>
    <w:rPr>
      <w:sz w:val="24"/>
    </w:rPr>
  </w:style>
  <w:style w:type="character" w:customStyle="1" w:styleId="TextonotapieCar">
    <w:name w:val="Texto nota pie Car"/>
    <w:basedOn w:val="Fuentedeprrafopredeter"/>
    <w:link w:val="Textonotapie"/>
    <w:uiPriority w:val="99"/>
    <w:rsid w:val="00BE2579"/>
    <w:rPr>
      <w:rFonts w:ascii="Times New Roman" w:hAnsi="Times New Roman"/>
    </w:rPr>
  </w:style>
  <w:style w:type="character" w:styleId="Refdenotaalpie">
    <w:name w:val="footnote reference"/>
    <w:basedOn w:val="Fuentedeprrafopredeter"/>
    <w:uiPriority w:val="99"/>
    <w:unhideWhenUsed/>
    <w:rsid w:val="00BE2579"/>
    <w:rPr>
      <w:vertAlign w:val="superscript"/>
    </w:rPr>
  </w:style>
  <w:style w:type="paragraph" w:styleId="Piedepgina">
    <w:name w:val="footer"/>
    <w:basedOn w:val="Normal"/>
    <w:link w:val="PiedepginaCar"/>
    <w:uiPriority w:val="99"/>
    <w:unhideWhenUsed/>
    <w:rsid w:val="003D0FC8"/>
    <w:pPr>
      <w:tabs>
        <w:tab w:val="center" w:pos="4680"/>
        <w:tab w:val="right" w:pos="9360"/>
      </w:tabs>
    </w:pPr>
  </w:style>
  <w:style w:type="character" w:customStyle="1" w:styleId="PiedepginaCar">
    <w:name w:val="Pie de página Car"/>
    <w:basedOn w:val="Fuentedeprrafopredeter"/>
    <w:link w:val="Piedepgina"/>
    <w:uiPriority w:val="99"/>
    <w:rsid w:val="003D0FC8"/>
    <w:rPr>
      <w:rFonts w:ascii="Times New Roman" w:hAnsi="Times New Roman"/>
      <w:sz w:val="20"/>
    </w:rPr>
  </w:style>
  <w:style w:type="paragraph" w:styleId="Mapadeldocumento">
    <w:name w:val="Document Map"/>
    <w:basedOn w:val="Normal"/>
    <w:link w:val="MapadeldocumentoCar"/>
    <w:uiPriority w:val="99"/>
    <w:semiHidden/>
    <w:unhideWhenUsed/>
    <w:rsid w:val="00A60983"/>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A60983"/>
    <w:rPr>
      <w:rFonts w:ascii="Tahoma" w:hAnsi="Tahoma" w:cs="Tahoma"/>
      <w:sz w:val="16"/>
      <w:szCs w:val="16"/>
    </w:rPr>
  </w:style>
  <w:style w:type="character" w:styleId="Textodelmarcadordeposicin">
    <w:name w:val="Placeholder Text"/>
    <w:basedOn w:val="Fuentedeprrafopredeter"/>
    <w:uiPriority w:val="99"/>
    <w:semiHidden/>
    <w:rsid w:val="00F00281"/>
    <w:rPr>
      <w:color w:val="808080"/>
    </w:rPr>
  </w:style>
  <w:style w:type="table" w:styleId="Tablaconcuadrcula">
    <w:name w:val="Table Grid"/>
    <w:basedOn w:val="Tablanormal"/>
    <w:uiPriority w:val="59"/>
    <w:rsid w:val="00EF4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degrficooimagen">
    <w:name w:val="Pie de gráfico o imagen"/>
    <w:basedOn w:val="Descripcin"/>
    <w:qFormat/>
    <w:rsid w:val="002B719F"/>
    <w:pPr>
      <w:spacing w:before="120" w:after="120"/>
      <w:jc w:val="center"/>
    </w:pPr>
    <w:rPr>
      <w:b w:val="0"/>
    </w:rPr>
  </w:style>
  <w:style w:type="paragraph" w:customStyle="1" w:styleId="phmfigures">
    <w:name w:val="phm_figures"/>
    <w:basedOn w:val="TextoNormal"/>
    <w:rsid w:val="009F3D79"/>
    <w:pPr>
      <w:spacing w:before="240"/>
      <w:jc w:val="center"/>
    </w:pPr>
    <w:rPr>
      <w:noProof/>
    </w:rPr>
  </w:style>
  <w:style w:type="paragraph" w:customStyle="1" w:styleId="Titulo-Ingls">
    <w:name w:val="Titulo-Inglés"/>
    <w:basedOn w:val="TtuloEspaol"/>
    <w:link w:val="Titulo-InglsCar"/>
    <w:qFormat/>
    <w:rsid w:val="004D2E97"/>
    <w:rPr>
      <w:color w:val="808080" w:themeColor="background1" w:themeShade="80"/>
      <w:lang w:val="en-GB"/>
    </w:rPr>
  </w:style>
  <w:style w:type="paragraph" w:customStyle="1" w:styleId="CentrodeInvestigacin">
    <w:name w:val="Centro de Investigación"/>
    <w:link w:val="CentrodeInvestigacinCar"/>
    <w:qFormat/>
    <w:rsid w:val="004C6342"/>
    <w:pPr>
      <w:jc w:val="center"/>
    </w:pPr>
    <w:rPr>
      <w:rFonts w:ascii="Times New Roman" w:hAnsi="Times New Roman"/>
      <w:i/>
      <w:lang w:val="es-ES_tradnl"/>
    </w:rPr>
  </w:style>
  <w:style w:type="character" w:customStyle="1" w:styleId="phmnormalCar">
    <w:name w:val="phm_normal Car"/>
    <w:basedOn w:val="Fuentedeprrafopredeter"/>
    <w:link w:val="phmnormal"/>
    <w:rsid w:val="00CB15E9"/>
    <w:rPr>
      <w:rFonts w:ascii="Times New Roman" w:hAnsi="Times New Roman"/>
      <w:sz w:val="20"/>
    </w:rPr>
  </w:style>
  <w:style w:type="character" w:customStyle="1" w:styleId="TtuloEspaolCar">
    <w:name w:val="Título_Español Car"/>
    <w:basedOn w:val="phmnormalCar"/>
    <w:link w:val="TtuloEspaol"/>
    <w:rsid w:val="004464E6"/>
    <w:rPr>
      <w:rFonts w:ascii="Cambria" w:hAnsi="Cambria" w:cs="Calibri Light"/>
      <w:b/>
      <w:noProof/>
      <w:sz w:val="34"/>
      <w:lang w:val="es-ES_tradnl"/>
    </w:rPr>
  </w:style>
  <w:style w:type="character" w:customStyle="1" w:styleId="Titulo-InglsCar">
    <w:name w:val="Titulo-Inglés Car"/>
    <w:basedOn w:val="TtuloEspaolCar"/>
    <w:link w:val="Titulo-Ingls"/>
    <w:rsid w:val="004D2E97"/>
    <w:rPr>
      <w:rFonts w:ascii="Cambria" w:hAnsi="Cambria" w:cs="Calibri Light"/>
      <w:b/>
      <w:noProof/>
      <w:color w:val="808080" w:themeColor="background1" w:themeShade="80"/>
      <w:sz w:val="34"/>
      <w:lang w:val="en-GB"/>
    </w:rPr>
  </w:style>
  <w:style w:type="paragraph" w:customStyle="1" w:styleId="Notaalpie">
    <w:name w:val="Notaalpie"/>
    <w:basedOn w:val="Piedepgina"/>
    <w:link w:val="NotaalpieCar"/>
    <w:qFormat/>
    <w:rsid w:val="00393782"/>
    <w:rPr>
      <w:rFonts w:asciiTheme="minorHAnsi" w:hAnsiTheme="minorHAnsi"/>
      <w:sz w:val="18"/>
      <w:lang w:val="es-ES_tradnl"/>
    </w:rPr>
  </w:style>
  <w:style w:type="character" w:customStyle="1" w:styleId="AutoresCar">
    <w:name w:val="Autores Car"/>
    <w:basedOn w:val="phmnormalCar"/>
    <w:link w:val="Autores"/>
    <w:rsid w:val="004C6342"/>
    <w:rPr>
      <w:rFonts w:ascii="Times New Roman" w:hAnsi="Times New Roman"/>
      <w:b/>
      <w:sz w:val="20"/>
      <w:lang w:val="es-ES_tradnl"/>
    </w:rPr>
  </w:style>
  <w:style w:type="character" w:customStyle="1" w:styleId="CentrodeInvestigacinCar">
    <w:name w:val="Centro de Investigación Car"/>
    <w:basedOn w:val="AutoresCar"/>
    <w:link w:val="CentrodeInvestigacin"/>
    <w:rsid w:val="004C6342"/>
    <w:rPr>
      <w:rFonts w:ascii="Times New Roman" w:hAnsi="Times New Roman"/>
      <w:b w:val="0"/>
      <w:i/>
      <w:sz w:val="20"/>
      <w:lang w:val="es-ES_tradnl"/>
    </w:rPr>
  </w:style>
  <w:style w:type="character" w:customStyle="1" w:styleId="NotaalpieCar">
    <w:name w:val="Notaalpie Car"/>
    <w:basedOn w:val="PiedepginaCar"/>
    <w:link w:val="Notaalpie"/>
    <w:rsid w:val="00393782"/>
    <w:rPr>
      <w:rFonts w:ascii="Times New Roman" w:hAnsi="Times New Roman"/>
      <w:sz w:val="18"/>
      <w:lang w:val="es-ES_tradnl"/>
    </w:rPr>
  </w:style>
  <w:style w:type="paragraph" w:customStyle="1" w:styleId="Textotabla">
    <w:name w:val="Textotabla"/>
    <w:basedOn w:val="Normal"/>
    <w:link w:val="TextotablaCar"/>
    <w:qFormat/>
    <w:rsid w:val="002315C9"/>
    <w:pPr>
      <w:jc w:val="center"/>
    </w:pPr>
    <w:rPr>
      <w:rFonts w:eastAsiaTheme="minorHAnsi"/>
      <w:sz w:val="24"/>
      <w:szCs w:val="20"/>
      <w:lang w:val="es-ES"/>
    </w:rPr>
  </w:style>
  <w:style w:type="character" w:customStyle="1" w:styleId="TextotablaCar">
    <w:name w:val="Textotabla Car"/>
    <w:basedOn w:val="Fuentedeprrafopredeter"/>
    <w:link w:val="Textotabla"/>
    <w:rsid w:val="002315C9"/>
    <w:rPr>
      <w:rFonts w:ascii="Times New Roman" w:eastAsiaTheme="minorHAnsi" w:hAnsi="Times New Roman"/>
      <w:szCs w:val="20"/>
      <w:lang w:val="es-ES"/>
    </w:rPr>
  </w:style>
  <w:style w:type="paragraph" w:customStyle="1" w:styleId="Textoresumen">
    <w:name w:val="Textoresumen"/>
    <w:basedOn w:val="TextoNormal"/>
    <w:rsid w:val="00AF3005"/>
    <w:rPr>
      <w:sz w:val="20"/>
    </w:rPr>
  </w:style>
  <w:style w:type="paragraph" w:customStyle="1" w:styleId="Estilo1">
    <w:name w:val="Estilo1"/>
    <w:basedOn w:val="TextoNormal"/>
    <w:rsid w:val="002C6AEB"/>
    <w:rPr>
      <w:i/>
    </w:rPr>
  </w:style>
  <w:style w:type="paragraph" w:customStyle="1" w:styleId="DOI">
    <w:name w:val="DOI"/>
    <w:rsid w:val="00375629"/>
    <w:pPr>
      <w:jc w:val="right"/>
    </w:pPr>
    <w:rPr>
      <w:rFonts w:ascii="Cambria" w:hAnsi="Cambria" w:cs="Calibri Light"/>
      <w:i/>
      <w:noProof/>
      <w:color w:val="000000" w:themeColor="text1"/>
      <w:sz w:val="22"/>
      <w:szCs w:val="20"/>
      <w:lang w:val="es-ES_tradnl"/>
    </w:rPr>
  </w:style>
  <w:style w:type="paragraph" w:customStyle="1" w:styleId="Citatextual">
    <w:name w:val="Citatextual"/>
    <w:basedOn w:val="TextoNormal"/>
    <w:rsid w:val="00375629"/>
    <w:pPr>
      <w:ind w:left="1134" w:firstLine="0"/>
    </w:pPr>
    <w:rPr>
      <w:rFonts w:cs="Times New Roman"/>
      <w:color w:val="000000" w:themeColor="text1"/>
      <w:sz w:val="22"/>
      <w:szCs w:val="22"/>
      <w:shd w:val="clear" w:color="auto" w:fill="FFFFFF"/>
    </w:rPr>
  </w:style>
  <w:style w:type="paragraph" w:customStyle="1" w:styleId="Indicador">
    <w:name w:val="Indicador"/>
    <w:rsid w:val="00375629"/>
    <w:pPr>
      <w:jc w:val="both"/>
    </w:pPr>
    <w:rPr>
      <w:rFonts w:ascii="Cambria" w:hAnsi="Cambria" w:cs="Times New Roman"/>
      <w:noProof/>
      <w:color w:val="808080" w:themeColor="background1" w:themeShade="80"/>
      <w:sz w:val="34"/>
      <w:lang w:val="es-ES_tradnl"/>
    </w:rPr>
  </w:style>
  <w:style w:type="paragraph" w:customStyle="1" w:styleId="Indicador2">
    <w:name w:val="Indicador 2"/>
    <w:rsid w:val="00375629"/>
    <w:pPr>
      <w:jc w:val="both"/>
    </w:pPr>
    <w:rPr>
      <w:rFonts w:ascii="Times New Roman" w:hAnsi="Times New Roman" w:cs="Times New Roman"/>
      <w:noProof/>
      <w:color w:val="808080" w:themeColor="background1" w:themeShade="80"/>
      <w:lang w:val="es-ES_tradnl"/>
    </w:rPr>
  </w:style>
  <w:style w:type="paragraph" w:customStyle="1" w:styleId="Indicador3">
    <w:name w:val="Indicador 3"/>
    <w:rsid w:val="00375629"/>
    <w:pPr>
      <w:jc w:val="both"/>
    </w:pPr>
    <w:rPr>
      <w:rFonts w:ascii="Times New Roman" w:hAnsi="Times New Roman" w:cs="Times New Roman"/>
      <w:noProof/>
      <w:color w:val="808080" w:themeColor="background1" w:themeShade="80"/>
      <w:sz w:val="20"/>
      <w:lang w:val="es-ES_tradnl"/>
    </w:rPr>
  </w:style>
  <w:style w:type="paragraph" w:customStyle="1" w:styleId="Subtitulosinnumeracion">
    <w:name w:val="Subtitulosinnumeracion"/>
    <w:basedOn w:val="Estilo1"/>
    <w:rsid w:val="00B72739"/>
    <w:pPr>
      <w:ind w:firstLine="0"/>
    </w:pPr>
  </w:style>
  <w:style w:type="character" w:styleId="nfasis">
    <w:name w:val="Emphasis"/>
    <w:basedOn w:val="Fuentedeprrafopredeter"/>
    <w:uiPriority w:val="20"/>
    <w:qFormat/>
    <w:rsid w:val="00522775"/>
    <w:rPr>
      <w:i/>
      <w:iCs/>
    </w:rPr>
  </w:style>
  <w:style w:type="paragraph" w:customStyle="1" w:styleId="Orcid">
    <w:name w:val="Orcid"/>
    <w:rsid w:val="004C6342"/>
    <w:pPr>
      <w:jc w:val="center"/>
    </w:pPr>
    <w:rPr>
      <w:rFonts w:ascii="Times New Roman" w:hAnsi="Times New Roman"/>
      <w:lang w:val="es-ES_tradnl"/>
    </w:rPr>
  </w:style>
  <w:style w:type="paragraph" w:customStyle="1" w:styleId="Notaalpie0">
    <w:name w:val="Nota al pie"/>
    <w:basedOn w:val="Textonotapie"/>
    <w:rsid w:val="00207F76"/>
    <w:rPr>
      <w:sz w:val="20"/>
      <w:szCs w:val="22"/>
    </w:rPr>
  </w:style>
  <w:style w:type="paragraph" w:customStyle="1" w:styleId="Agradecimientos">
    <w:name w:val="Agradecimientos"/>
    <w:basedOn w:val="TtulosResumenAbstrac"/>
    <w:rsid w:val="00207F76"/>
    <w:pPr>
      <w:ind w:left="0" w:firstLine="567"/>
    </w:pPr>
    <w:rPr>
      <w:b w:val="0"/>
      <w:smallCaps w:val="0"/>
    </w:rPr>
  </w:style>
  <w:style w:type="paragraph" w:customStyle="1" w:styleId="Fechasdeaceptacin">
    <w:name w:val="Fechas de aceptación"/>
    <w:rsid w:val="00207F76"/>
    <w:pPr>
      <w:jc w:val="right"/>
    </w:pPr>
    <w:rPr>
      <w:rFonts w:ascii="Times New Roman" w:hAnsi="Times New Roman"/>
      <w:b/>
      <w:bCs/>
      <w:sz w:val="20"/>
      <w:szCs w:val="20"/>
      <w:lang w:val="es-ES"/>
    </w:rPr>
  </w:style>
  <w:style w:type="paragraph" w:customStyle="1" w:styleId="Referencias">
    <w:name w:val="Referencias"/>
    <w:rsid w:val="00207F76"/>
    <w:pPr>
      <w:spacing w:before="480" w:after="240"/>
      <w:jc w:val="center"/>
    </w:pPr>
    <w:rPr>
      <w:rFonts w:ascii="Times New Roman" w:hAnsi="Times New Roman"/>
      <w:b/>
      <w:lang w:val="es-ES_tradnl"/>
    </w:rPr>
  </w:style>
  <w:style w:type="character" w:customStyle="1" w:styleId="TextoNormalCar">
    <w:name w:val="TextoNormal Car"/>
    <w:basedOn w:val="phmnormalCar"/>
    <w:link w:val="TextoNormal"/>
    <w:rsid w:val="001503F1"/>
    <w:rPr>
      <w:rFonts w:ascii="Times New Roman" w:hAnsi="Times New Roman"/>
      <w:sz w:val="20"/>
      <w:lang w:val="es-ES_tradnl"/>
    </w:rPr>
  </w:style>
  <w:style w:type="paragraph" w:styleId="HTMLconformatoprevio">
    <w:name w:val="HTML Preformatted"/>
    <w:basedOn w:val="Normal"/>
    <w:link w:val="HTMLconformatoprevioCar"/>
    <w:uiPriority w:val="99"/>
    <w:semiHidden/>
    <w:unhideWhenUsed/>
    <w:rsid w:val="009240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Cs w:val="20"/>
      <w:lang w:val="es-ES" w:eastAsia="es-ES"/>
    </w:rPr>
  </w:style>
  <w:style w:type="character" w:customStyle="1" w:styleId="HTMLconformatoprevioCar">
    <w:name w:val="HTML con formato previo Car"/>
    <w:basedOn w:val="Fuentedeprrafopredeter"/>
    <w:link w:val="HTMLconformatoprevio"/>
    <w:uiPriority w:val="99"/>
    <w:semiHidden/>
    <w:rsid w:val="009240E3"/>
    <w:rPr>
      <w:rFonts w:ascii="Courier New" w:eastAsia="Times New Roman" w:hAnsi="Courier New" w:cs="Courier New"/>
      <w:sz w:val="20"/>
      <w:szCs w:val="20"/>
      <w:lang w:val="es-ES" w:eastAsia="es-ES"/>
    </w:rPr>
  </w:style>
  <w:style w:type="character" w:customStyle="1" w:styleId="y2iqfc">
    <w:name w:val="y2iqfc"/>
    <w:basedOn w:val="Fuentedeprrafopredeter"/>
    <w:rsid w:val="009240E3"/>
  </w:style>
  <w:style w:type="paragraph" w:styleId="Prrafodelista">
    <w:name w:val="List Paragraph"/>
    <w:basedOn w:val="Normal"/>
    <w:uiPriority w:val="99"/>
    <w:qFormat/>
    <w:rsid w:val="005A77AD"/>
    <w:pPr>
      <w:spacing w:after="160" w:line="259" w:lineRule="auto"/>
      <w:ind w:left="720"/>
      <w:contextualSpacing/>
      <w:jc w:val="left"/>
    </w:pPr>
    <w:rPr>
      <w:rFonts w:ascii="Calibri" w:eastAsia="Calibri" w:hAnsi="Calibri" w:cs="Times New Roman"/>
      <w:sz w:val="22"/>
      <w:szCs w:val="22"/>
      <w:lang w:val="es-ES"/>
    </w:rPr>
  </w:style>
  <w:style w:type="paragraph" w:customStyle="1" w:styleId="Textbody">
    <w:name w:val="Text body"/>
    <w:basedOn w:val="Normal"/>
    <w:uiPriority w:val="99"/>
    <w:rsid w:val="007C2439"/>
    <w:pPr>
      <w:suppressAutoHyphens/>
      <w:autoSpaceDN w:val="0"/>
      <w:spacing w:after="120"/>
      <w:jc w:val="left"/>
      <w:textAlignment w:val="baseline"/>
    </w:pPr>
    <w:rPr>
      <w:rFonts w:eastAsia="Times New Roman" w:cs="Times New Roman"/>
      <w:kern w:val="3"/>
      <w:szCs w:val="20"/>
      <w:lang w:val="es-ES" w:eastAsia="es-ES"/>
    </w:rPr>
  </w:style>
  <w:style w:type="paragraph" w:styleId="Sinespaciado">
    <w:name w:val="No Spacing"/>
    <w:uiPriority w:val="99"/>
    <w:qFormat/>
    <w:rsid w:val="007C2439"/>
    <w:rPr>
      <w:rFonts w:ascii="Calibri" w:eastAsia="Calibri" w:hAnsi="Calibri" w:cs="Times New Roman"/>
      <w:sz w:val="18"/>
      <w:szCs w:val="18"/>
      <w:lang w:val="es-ES"/>
    </w:rPr>
  </w:style>
  <w:style w:type="paragraph" w:customStyle="1" w:styleId="Pa27">
    <w:name w:val="Pa27"/>
    <w:basedOn w:val="Normal"/>
    <w:next w:val="Normal"/>
    <w:uiPriority w:val="99"/>
    <w:rsid w:val="001503CF"/>
    <w:pPr>
      <w:autoSpaceDE w:val="0"/>
      <w:autoSpaceDN w:val="0"/>
      <w:adjustRightInd w:val="0"/>
      <w:spacing w:line="221" w:lineRule="atLeast"/>
      <w:jc w:val="left"/>
    </w:pPr>
    <w:rPr>
      <w:rFonts w:ascii="Adobe Garamond Pro" w:eastAsia="Calibri" w:hAnsi="Adobe Garamond Pro" w:cs="Times New Roman"/>
      <w:sz w:val="24"/>
      <w:lang w:val="es-ES"/>
    </w:rPr>
  </w:style>
  <w:style w:type="character" w:styleId="Hipervnculovisitado">
    <w:name w:val="FollowedHyperlink"/>
    <w:basedOn w:val="Fuentedeprrafopredeter"/>
    <w:unhideWhenUsed/>
    <w:rsid w:val="005C2A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204639">
      <w:bodyDiv w:val="1"/>
      <w:marLeft w:val="0"/>
      <w:marRight w:val="0"/>
      <w:marTop w:val="0"/>
      <w:marBottom w:val="0"/>
      <w:divBdr>
        <w:top w:val="none" w:sz="0" w:space="0" w:color="auto"/>
        <w:left w:val="none" w:sz="0" w:space="0" w:color="auto"/>
        <w:bottom w:val="none" w:sz="0" w:space="0" w:color="auto"/>
        <w:right w:val="none" w:sz="0" w:space="0" w:color="auto"/>
      </w:divBdr>
      <w:divsChild>
        <w:div w:id="1929070594">
          <w:marLeft w:val="0"/>
          <w:marRight w:val="0"/>
          <w:marTop w:val="0"/>
          <w:marBottom w:val="0"/>
          <w:divBdr>
            <w:top w:val="none" w:sz="0" w:space="0" w:color="auto"/>
            <w:left w:val="none" w:sz="0" w:space="0" w:color="auto"/>
            <w:bottom w:val="none" w:sz="0" w:space="0" w:color="auto"/>
            <w:right w:val="none" w:sz="0" w:space="0" w:color="auto"/>
          </w:divBdr>
        </w:div>
        <w:div w:id="208802246">
          <w:marLeft w:val="0"/>
          <w:marRight w:val="0"/>
          <w:marTop w:val="0"/>
          <w:marBottom w:val="0"/>
          <w:divBdr>
            <w:top w:val="none" w:sz="0" w:space="0" w:color="auto"/>
            <w:left w:val="none" w:sz="0" w:space="0" w:color="auto"/>
            <w:bottom w:val="none" w:sz="0" w:space="0" w:color="auto"/>
            <w:right w:val="none" w:sz="0" w:space="0" w:color="auto"/>
          </w:divBdr>
        </w:div>
        <w:div w:id="1880194810">
          <w:marLeft w:val="0"/>
          <w:marRight w:val="0"/>
          <w:marTop w:val="0"/>
          <w:marBottom w:val="0"/>
          <w:divBdr>
            <w:top w:val="none" w:sz="0" w:space="0" w:color="auto"/>
            <w:left w:val="none" w:sz="0" w:space="0" w:color="auto"/>
            <w:bottom w:val="none" w:sz="0" w:space="0" w:color="auto"/>
            <w:right w:val="none" w:sz="0" w:space="0" w:color="auto"/>
          </w:divBdr>
        </w:div>
        <w:div w:id="1649089085">
          <w:marLeft w:val="0"/>
          <w:marRight w:val="0"/>
          <w:marTop w:val="0"/>
          <w:marBottom w:val="0"/>
          <w:divBdr>
            <w:top w:val="none" w:sz="0" w:space="0" w:color="auto"/>
            <w:left w:val="none" w:sz="0" w:space="0" w:color="auto"/>
            <w:bottom w:val="none" w:sz="0" w:space="0" w:color="auto"/>
            <w:right w:val="none" w:sz="0" w:space="0" w:color="auto"/>
          </w:divBdr>
        </w:div>
      </w:divsChild>
    </w:div>
    <w:div w:id="453209287">
      <w:bodyDiv w:val="1"/>
      <w:marLeft w:val="0"/>
      <w:marRight w:val="0"/>
      <w:marTop w:val="0"/>
      <w:marBottom w:val="0"/>
      <w:divBdr>
        <w:top w:val="none" w:sz="0" w:space="0" w:color="auto"/>
        <w:left w:val="none" w:sz="0" w:space="0" w:color="auto"/>
        <w:bottom w:val="none" w:sz="0" w:space="0" w:color="auto"/>
        <w:right w:val="none" w:sz="0" w:space="0" w:color="auto"/>
      </w:divBdr>
      <w:divsChild>
        <w:div w:id="563295288">
          <w:marLeft w:val="0"/>
          <w:marRight w:val="0"/>
          <w:marTop w:val="0"/>
          <w:marBottom w:val="0"/>
          <w:divBdr>
            <w:top w:val="none" w:sz="0" w:space="0" w:color="auto"/>
            <w:left w:val="none" w:sz="0" w:space="0" w:color="auto"/>
            <w:bottom w:val="none" w:sz="0" w:space="0" w:color="auto"/>
            <w:right w:val="none" w:sz="0" w:space="0" w:color="auto"/>
          </w:divBdr>
        </w:div>
        <w:div w:id="1488397327">
          <w:marLeft w:val="0"/>
          <w:marRight w:val="0"/>
          <w:marTop w:val="0"/>
          <w:marBottom w:val="0"/>
          <w:divBdr>
            <w:top w:val="none" w:sz="0" w:space="0" w:color="auto"/>
            <w:left w:val="none" w:sz="0" w:space="0" w:color="auto"/>
            <w:bottom w:val="none" w:sz="0" w:space="0" w:color="auto"/>
            <w:right w:val="none" w:sz="0" w:space="0" w:color="auto"/>
          </w:divBdr>
        </w:div>
        <w:div w:id="1670866328">
          <w:marLeft w:val="0"/>
          <w:marRight w:val="0"/>
          <w:marTop w:val="0"/>
          <w:marBottom w:val="0"/>
          <w:divBdr>
            <w:top w:val="none" w:sz="0" w:space="0" w:color="auto"/>
            <w:left w:val="none" w:sz="0" w:space="0" w:color="auto"/>
            <w:bottom w:val="none" w:sz="0" w:space="0" w:color="auto"/>
            <w:right w:val="none" w:sz="0" w:space="0" w:color="auto"/>
          </w:divBdr>
        </w:div>
        <w:div w:id="749500561">
          <w:marLeft w:val="0"/>
          <w:marRight w:val="0"/>
          <w:marTop w:val="0"/>
          <w:marBottom w:val="0"/>
          <w:divBdr>
            <w:top w:val="none" w:sz="0" w:space="0" w:color="auto"/>
            <w:left w:val="none" w:sz="0" w:space="0" w:color="auto"/>
            <w:bottom w:val="none" w:sz="0" w:space="0" w:color="auto"/>
            <w:right w:val="none" w:sz="0" w:space="0" w:color="auto"/>
          </w:divBdr>
        </w:div>
        <w:div w:id="95097307">
          <w:marLeft w:val="0"/>
          <w:marRight w:val="0"/>
          <w:marTop w:val="0"/>
          <w:marBottom w:val="0"/>
          <w:divBdr>
            <w:top w:val="none" w:sz="0" w:space="0" w:color="auto"/>
            <w:left w:val="none" w:sz="0" w:space="0" w:color="auto"/>
            <w:bottom w:val="none" w:sz="0" w:space="0" w:color="auto"/>
            <w:right w:val="none" w:sz="0" w:space="0" w:color="auto"/>
          </w:divBdr>
        </w:div>
        <w:div w:id="337926318">
          <w:marLeft w:val="0"/>
          <w:marRight w:val="0"/>
          <w:marTop w:val="0"/>
          <w:marBottom w:val="0"/>
          <w:divBdr>
            <w:top w:val="none" w:sz="0" w:space="0" w:color="auto"/>
            <w:left w:val="none" w:sz="0" w:space="0" w:color="auto"/>
            <w:bottom w:val="none" w:sz="0" w:space="0" w:color="auto"/>
            <w:right w:val="none" w:sz="0" w:space="0" w:color="auto"/>
          </w:divBdr>
        </w:div>
      </w:divsChild>
    </w:div>
    <w:div w:id="902715170">
      <w:bodyDiv w:val="1"/>
      <w:marLeft w:val="0"/>
      <w:marRight w:val="0"/>
      <w:marTop w:val="0"/>
      <w:marBottom w:val="0"/>
      <w:divBdr>
        <w:top w:val="none" w:sz="0" w:space="0" w:color="auto"/>
        <w:left w:val="none" w:sz="0" w:space="0" w:color="auto"/>
        <w:bottom w:val="none" w:sz="0" w:space="0" w:color="auto"/>
        <w:right w:val="none" w:sz="0" w:space="0" w:color="auto"/>
      </w:divBdr>
      <w:divsChild>
        <w:div w:id="455491363">
          <w:marLeft w:val="0"/>
          <w:marRight w:val="0"/>
          <w:marTop w:val="0"/>
          <w:marBottom w:val="0"/>
          <w:divBdr>
            <w:top w:val="none" w:sz="0" w:space="0" w:color="auto"/>
            <w:left w:val="none" w:sz="0" w:space="0" w:color="auto"/>
            <w:bottom w:val="none" w:sz="0" w:space="0" w:color="auto"/>
            <w:right w:val="none" w:sz="0" w:space="0" w:color="auto"/>
          </w:divBdr>
          <w:divsChild>
            <w:div w:id="1482192458">
              <w:marLeft w:val="0"/>
              <w:marRight w:val="0"/>
              <w:marTop w:val="0"/>
              <w:marBottom w:val="0"/>
              <w:divBdr>
                <w:top w:val="none" w:sz="0" w:space="0" w:color="auto"/>
                <w:left w:val="none" w:sz="0" w:space="0" w:color="auto"/>
                <w:bottom w:val="none" w:sz="0" w:space="0" w:color="auto"/>
                <w:right w:val="none" w:sz="0" w:space="0" w:color="auto"/>
              </w:divBdr>
              <w:divsChild>
                <w:div w:id="186767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351622">
      <w:bodyDiv w:val="1"/>
      <w:marLeft w:val="0"/>
      <w:marRight w:val="0"/>
      <w:marTop w:val="0"/>
      <w:marBottom w:val="0"/>
      <w:divBdr>
        <w:top w:val="none" w:sz="0" w:space="0" w:color="auto"/>
        <w:left w:val="none" w:sz="0" w:space="0" w:color="auto"/>
        <w:bottom w:val="none" w:sz="0" w:space="0" w:color="auto"/>
        <w:right w:val="none" w:sz="0" w:space="0" w:color="auto"/>
      </w:divBdr>
    </w:div>
    <w:div w:id="1339506624">
      <w:bodyDiv w:val="1"/>
      <w:marLeft w:val="0"/>
      <w:marRight w:val="0"/>
      <w:marTop w:val="0"/>
      <w:marBottom w:val="0"/>
      <w:divBdr>
        <w:top w:val="none" w:sz="0" w:space="0" w:color="auto"/>
        <w:left w:val="none" w:sz="0" w:space="0" w:color="auto"/>
        <w:bottom w:val="none" w:sz="0" w:space="0" w:color="auto"/>
        <w:right w:val="none" w:sz="0" w:space="0" w:color="auto"/>
      </w:divBdr>
    </w:div>
    <w:div w:id="1532304747">
      <w:bodyDiv w:val="1"/>
      <w:marLeft w:val="0"/>
      <w:marRight w:val="0"/>
      <w:marTop w:val="0"/>
      <w:marBottom w:val="0"/>
      <w:divBdr>
        <w:top w:val="none" w:sz="0" w:space="0" w:color="auto"/>
        <w:left w:val="none" w:sz="0" w:space="0" w:color="auto"/>
        <w:bottom w:val="none" w:sz="0" w:space="0" w:color="auto"/>
        <w:right w:val="none" w:sz="0" w:space="0" w:color="auto"/>
      </w:divBdr>
    </w:div>
    <w:div w:id="1709256921">
      <w:bodyDiv w:val="1"/>
      <w:marLeft w:val="0"/>
      <w:marRight w:val="0"/>
      <w:marTop w:val="0"/>
      <w:marBottom w:val="0"/>
      <w:divBdr>
        <w:top w:val="none" w:sz="0" w:space="0" w:color="auto"/>
        <w:left w:val="none" w:sz="0" w:space="0" w:color="auto"/>
        <w:bottom w:val="none" w:sz="0" w:space="0" w:color="auto"/>
        <w:right w:val="none" w:sz="0" w:space="0" w:color="auto"/>
      </w:divBdr>
    </w:div>
    <w:div w:id="1860194411">
      <w:bodyDiv w:val="1"/>
      <w:marLeft w:val="0"/>
      <w:marRight w:val="0"/>
      <w:marTop w:val="0"/>
      <w:marBottom w:val="0"/>
      <w:divBdr>
        <w:top w:val="none" w:sz="0" w:space="0" w:color="auto"/>
        <w:left w:val="none" w:sz="0" w:space="0" w:color="auto"/>
        <w:bottom w:val="none" w:sz="0" w:space="0" w:color="auto"/>
        <w:right w:val="none" w:sz="0" w:space="0" w:color="auto"/>
      </w:divBdr>
    </w:div>
    <w:div w:id="1996492806">
      <w:bodyDiv w:val="1"/>
      <w:marLeft w:val="0"/>
      <w:marRight w:val="0"/>
      <w:marTop w:val="0"/>
      <w:marBottom w:val="0"/>
      <w:divBdr>
        <w:top w:val="none" w:sz="0" w:space="0" w:color="auto"/>
        <w:left w:val="none" w:sz="0" w:space="0" w:color="auto"/>
        <w:bottom w:val="none" w:sz="0" w:space="0" w:color="auto"/>
        <w:right w:val="none" w:sz="0" w:space="0" w:color="auto"/>
      </w:divBdr>
      <w:divsChild>
        <w:div w:id="131339055">
          <w:marLeft w:val="0"/>
          <w:marRight w:val="0"/>
          <w:marTop w:val="0"/>
          <w:marBottom w:val="0"/>
          <w:divBdr>
            <w:top w:val="none" w:sz="0" w:space="0" w:color="auto"/>
            <w:left w:val="none" w:sz="0" w:space="0" w:color="auto"/>
            <w:bottom w:val="none" w:sz="0" w:space="0" w:color="auto"/>
            <w:right w:val="none" w:sz="0" w:space="0" w:color="auto"/>
          </w:divBdr>
          <w:divsChild>
            <w:div w:id="1833907734">
              <w:marLeft w:val="0"/>
              <w:marRight w:val="0"/>
              <w:marTop w:val="0"/>
              <w:marBottom w:val="0"/>
              <w:divBdr>
                <w:top w:val="none" w:sz="0" w:space="0" w:color="auto"/>
                <w:left w:val="none" w:sz="0" w:space="0" w:color="auto"/>
                <w:bottom w:val="none" w:sz="0" w:space="0" w:color="auto"/>
                <w:right w:val="none" w:sz="0" w:space="0" w:color="auto"/>
              </w:divBdr>
              <w:divsChild>
                <w:div w:id="80866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6705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uiadepensamientocritico.files.wordpress.com/2021/09/prueba-competencia-cientifica-1eso.pdf" TargetMode="External"/><Relationship Id="rId18" Type="http://schemas.openxmlformats.org/officeDocument/2006/relationships/hyperlink" Target="https://doi.org/10.4438/1988-592X-RE-2017-379-370" TargetMode="External"/><Relationship Id="rId26" Type="http://schemas.openxmlformats.org/officeDocument/2006/relationships/hyperlink" Target="http://hdl.handle.net/10498/19220" TargetMode="External"/><Relationship Id="rId21" Type="http://schemas.openxmlformats.org/officeDocument/2006/relationships/hyperlink" Target="https://doi.org/10.3102%2F0034654312457206"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doi.org/10.4438/1988-592X-RE-2017-381-388" TargetMode="External"/><Relationship Id="rId25" Type="http://schemas.openxmlformats.org/officeDocument/2006/relationships/hyperlink" Target="https://doi.org/10.5565/rev/ensciencias.2661" TargetMode="External"/><Relationship Id="rId33" Type="http://schemas.openxmlformats.org/officeDocument/2006/relationships/hyperlink" Target="http://digitalcommons.wayne.edu/jmasm/vol8/iss2/26?utm_source=digitalcommons.wayne.edu%2Fjmasm%2Fvol8%2Fiss2%2F26&amp;utm_medium=PDF&amp;utm_campaign=PDFCoverPages"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20http:/dx.doi.org/10.1037/a0021017.supp" TargetMode="External"/><Relationship Id="rId20" Type="http://schemas.openxmlformats.org/officeDocument/2006/relationships/hyperlink" Target="http://hdl.handle.net/10498/14542" TargetMode="External"/><Relationship Id="rId29" Type="http://schemas.openxmlformats.org/officeDocument/2006/relationships/hyperlink" Target="http://dx.doi.org/10.1787/9789264255425-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hyperlink" Target="https://doi.org/10.3102/0034654315627366" TargetMode="External"/><Relationship Id="rId32" Type="http://schemas.openxmlformats.org/officeDocument/2006/relationships/hyperlink" Target="http://hdl.handle.net/10498/19218"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dx.doi.org/10.3102/0034654308326084" TargetMode="External"/><Relationship Id="rId23" Type="http://schemas.openxmlformats.org/officeDocument/2006/relationships/hyperlink" Target="https://psycnet.apa.org/doi/10.1037/a0032583" TargetMode="External"/><Relationship Id="rId28" Type="http://schemas.openxmlformats.org/officeDocument/2006/relationships/hyperlink" Target="https://doi.org/10.17226/11625" TargetMode="External"/><Relationship Id="rId36" Type="http://schemas.openxmlformats.org/officeDocument/2006/relationships/footer" Target="footer2.xml"/><Relationship Id="rId10" Type="http://schemas.openxmlformats.org/officeDocument/2006/relationships/hyperlink" Target="https://orcid.org/0000-0001-6049-7766" TargetMode="External"/><Relationship Id="rId19" Type="http://schemas.openxmlformats.org/officeDocument/2006/relationships/hyperlink" Target="https://doi.org/10.1080/09500693.2015.1124300" TargetMode="External"/><Relationship Id="rId31" Type="http://schemas.openxmlformats.org/officeDocument/2006/relationships/hyperlink" Target="https://doi.org/10.1016/j.edurev.2015.02.003" TargetMode="External"/><Relationship Id="rId4" Type="http://schemas.openxmlformats.org/officeDocument/2006/relationships/settings" Target="settings.xml"/><Relationship Id="rId9" Type="http://schemas.openxmlformats.org/officeDocument/2006/relationships/hyperlink" Target="mailto:dalbertos@educa.madrid.org" TargetMode="External"/><Relationship Id="rId14" Type="http://schemas.openxmlformats.org/officeDocument/2006/relationships/image" Target="media/image4.png"/><Relationship Id="rId22" Type="http://schemas.openxmlformats.org/officeDocument/2006/relationships/hyperlink" Target="https://doi.org/10.1207/s15326985ep4102_1" TargetMode="External"/><Relationship Id="rId27" Type="http://schemas.openxmlformats.org/officeDocument/2006/relationships/hyperlink" Target="https://doi.org/10.17226/4962" TargetMode="External"/><Relationship Id="rId30" Type="http://schemas.openxmlformats.org/officeDocument/2006/relationships/hyperlink" Target="https://doi.org/10.1007/s10972-014-9384-1"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hyperlink" Target="https://creativecommons.org/licenses/by-nc-nd/3.0/deed.es_P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lbe\Downloads\PlantillaDe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36147-8133-42B8-8EDC-57E6CD1EE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PlantillaDef.dotx</Template>
  <TotalTime>211</TotalTime>
  <Pages>17</Pages>
  <Words>8314</Words>
  <Characters>45728</Characters>
  <Application>Microsoft Office Word</Application>
  <DocSecurity>0</DocSecurity>
  <Lines>381</Lines>
  <Paragraphs>107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53935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Albertos Gómez</dc:creator>
  <cp:lastModifiedBy>Daniel Albertos Gómez</cp:lastModifiedBy>
  <cp:revision>9</cp:revision>
  <cp:lastPrinted>2012-01-20T17:48:00Z</cp:lastPrinted>
  <dcterms:created xsi:type="dcterms:W3CDTF">2021-12-25T18:39:00Z</dcterms:created>
  <dcterms:modified xsi:type="dcterms:W3CDTF">2021-12-29T14:51:00Z</dcterms:modified>
</cp:coreProperties>
</file>