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70E99" w14:textId="77777777"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22CCC880" wp14:editId="25349E6F">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32E">
        <w:rPr>
          <w:lang w:val="es-ES" w:eastAsia="es-ES"/>
        </w:rPr>
        <w:t xml:space="preserve">Importancia y dominio percibido de competencias docentes en el Prácticum: análisis </w:t>
      </w:r>
      <w:r w:rsidR="00D103E3">
        <w:rPr>
          <w:lang w:val="es-ES" w:eastAsia="es-ES"/>
        </w:rPr>
        <w:t>en</w:t>
      </w:r>
      <w:r w:rsidR="004F132E">
        <w:rPr>
          <w:lang w:val="es-ES" w:eastAsia="es-ES"/>
        </w:rPr>
        <w:t xml:space="preserve"> la especialidad de Geografía e Historia del Máster en Profesor de Educación Secundaria</w:t>
      </w:r>
    </w:p>
    <w:p w14:paraId="3127E6F0" w14:textId="77777777" w:rsidR="00CB15E9" w:rsidRPr="00D567F7" w:rsidRDefault="00D567F7" w:rsidP="00B72739">
      <w:pPr>
        <w:pStyle w:val="Titulo-Ingls"/>
        <w:rPr>
          <w:lang w:val="en-US"/>
        </w:rPr>
      </w:pPr>
      <w:r w:rsidRPr="00D567F7">
        <w:rPr>
          <w:lang w:val="en-US"/>
        </w:rPr>
        <w:t xml:space="preserve">Importance and perceived proficiency of teaching competences in the Practicum: an analysis </w:t>
      </w:r>
      <w:r w:rsidR="00D103E3">
        <w:rPr>
          <w:lang w:val="en-US"/>
        </w:rPr>
        <w:t>in</w:t>
      </w:r>
      <w:r w:rsidRPr="00D567F7">
        <w:rPr>
          <w:lang w:val="en-US"/>
        </w:rPr>
        <w:t xml:space="preserve"> the </w:t>
      </w:r>
      <w:r>
        <w:rPr>
          <w:lang w:val="en-US"/>
        </w:rPr>
        <w:t>Geography and History specialization in the Masters’ Degree in Secondary Education Teaching</w:t>
      </w:r>
    </w:p>
    <w:p w14:paraId="62D359A1"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61226A86" w14:textId="77777777" w:rsidR="008E14ED" w:rsidRPr="001469D4" w:rsidRDefault="008E14ED" w:rsidP="00375629">
      <w:pPr>
        <w:pStyle w:val="Indicador2"/>
        <w:rPr>
          <w:b/>
        </w:rPr>
      </w:pPr>
    </w:p>
    <w:p w14:paraId="005D8C3F" w14:textId="77777777" w:rsidR="00CB15E9" w:rsidRDefault="00667883" w:rsidP="001469D4">
      <w:pPr>
        <w:pStyle w:val="Autores"/>
      </w:pPr>
      <w:r>
        <w:t>José María Martínez-Ferreira</w:t>
      </w:r>
    </w:p>
    <w:p w14:paraId="1FDA0024" w14:textId="77777777" w:rsidR="00CB15E9" w:rsidRPr="004C6342" w:rsidRDefault="00CB15E9" w:rsidP="004C6342">
      <w:pPr>
        <w:pStyle w:val="CentrodeInvestigacin"/>
        <w:rPr>
          <w:i w:val="0"/>
        </w:rPr>
      </w:pPr>
      <w:r w:rsidRPr="004C6342">
        <w:t>Universida</w:t>
      </w:r>
      <w:r w:rsidR="001469D4" w:rsidRPr="004C6342">
        <w:t xml:space="preserve">d </w:t>
      </w:r>
      <w:r w:rsidR="00667883">
        <w:t>de Valladolid</w:t>
      </w:r>
      <w:r w:rsidRPr="004C6342">
        <w:t xml:space="preserve">, </w:t>
      </w:r>
      <w:r w:rsidR="00667883" w:rsidRPr="00667883">
        <w:rPr>
          <w:i w:val="0"/>
        </w:rPr>
        <w:t>jos</w:t>
      </w:r>
      <w:r w:rsidR="00667883">
        <w:rPr>
          <w:i w:val="0"/>
        </w:rPr>
        <w:t>emaria.martinez.ferreira@uva.es</w:t>
      </w:r>
    </w:p>
    <w:p w14:paraId="094421DA" w14:textId="77777777" w:rsidR="00EA60A4" w:rsidRDefault="00EA60A4" w:rsidP="004D2E97">
      <w:pPr>
        <w:pStyle w:val="Orcid"/>
      </w:pPr>
      <w:r>
        <w:t>ORCID:</w:t>
      </w:r>
      <w:r w:rsidR="00990A92">
        <w:t xml:space="preserve"> </w:t>
      </w:r>
      <w:r w:rsidR="00667883" w:rsidRPr="00667883">
        <w:t>https://orcid.org/0000-0002-3630-0510</w:t>
      </w:r>
    </w:p>
    <w:p w14:paraId="15D34F9C" w14:textId="77777777" w:rsidR="001469D4" w:rsidRPr="001469D4" w:rsidRDefault="001469D4" w:rsidP="00375629">
      <w:pPr>
        <w:pStyle w:val="Indicador2"/>
        <w:rPr>
          <w:b/>
        </w:rPr>
      </w:pPr>
    </w:p>
    <w:p w14:paraId="66A1DBFA" w14:textId="77777777" w:rsidR="00CB15E9" w:rsidRDefault="00667883" w:rsidP="001469D4">
      <w:pPr>
        <w:pStyle w:val="Autores"/>
      </w:pPr>
      <w:r>
        <w:t>María Sánchez-Agustí</w:t>
      </w:r>
    </w:p>
    <w:p w14:paraId="6A80EA86" w14:textId="77777777" w:rsidR="00667883" w:rsidRDefault="00667883" w:rsidP="00667883">
      <w:pPr>
        <w:pStyle w:val="Orcid"/>
      </w:pPr>
      <w:r w:rsidRPr="00667883">
        <w:rPr>
          <w:i/>
        </w:rPr>
        <w:t>Universidad de Valladolid</w:t>
      </w:r>
      <w:r w:rsidRPr="004C6342">
        <w:t xml:space="preserve">, </w:t>
      </w:r>
      <w:r w:rsidRPr="00667883">
        <w:t>maria.sanchez.agusti@uva.es</w:t>
      </w:r>
      <w:r>
        <w:t xml:space="preserve"> </w:t>
      </w:r>
    </w:p>
    <w:p w14:paraId="6EB1F550" w14:textId="77777777" w:rsidR="00EA60A4" w:rsidRPr="00667883" w:rsidRDefault="00EA60A4" w:rsidP="00667883">
      <w:pPr>
        <w:pStyle w:val="Orcid"/>
      </w:pPr>
      <w:r>
        <w:t>ORCID:</w:t>
      </w:r>
      <w:r w:rsidR="00990A92">
        <w:t xml:space="preserve"> </w:t>
      </w:r>
      <w:r w:rsidR="00667883" w:rsidRPr="00667883">
        <w:t>https://orcid.org/0000-0001-7163-3276</w:t>
      </w:r>
    </w:p>
    <w:p w14:paraId="3C1CE7B6" w14:textId="77777777" w:rsidR="001469D4" w:rsidRPr="001469D4" w:rsidRDefault="001469D4" w:rsidP="00375629">
      <w:pPr>
        <w:pStyle w:val="Indicador2"/>
        <w:rPr>
          <w:b/>
        </w:rPr>
      </w:pPr>
    </w:p>
    <w:p w14:paraId="3BF20F74" w14:textId="77777777" w:rsidR="006C4905" w:rsidRDefault="00667883" w:rsidP="001469D4">
      <w:pPr>
        <w:pStyle w:val="Autores"/>
      </w:pPr>
      <w:r>
        <w:t>Diego Miguel-Revilla</w:t>
      </w:r>
    </w:p>
    <w:p w14:paraId="5047A2EA" w14:textId="77777777" w:rsidR="00667883" w:rsidRDefault="00667883" w:rsidP="00667883">
      <w:pPr>
        <w:pStyle w:val="Orcid"/>
      </w:pPr>
      <w:r w:rsidRPr="00667883">
        <w:rPr>
          <w:i/>
        </w:rPr>
        <w:t>Universidad de Valladolid</w:t>
      </w:r>
      <w:r w:rsidRPr="004C6342">
        <w:t xml:space="preserve">, </w:t>
      </w:r>
      <w:r w:rsidRPr="00667883">
        <w:t>diego.miguel.revilla@uva.es</w:t>
      </w:r>
      <w:r>
        <w:t xml:space="preserve"> </w:t>
      </w:r>
    </w:p>
    <w:p w14:paraId="6741D9AD" w14:textId="77777777" w:rsidR="00EA60A4" w:rsidRPr="00EA60A4" w:rsidRDefault="00EA60A4" w:rsidP="00667883">
      <w:pPr>
        <w:pStyle w:val="Orcid"/>
        <w:rPr>
          <w:i/>
        </w:rPr>
      </w:pPr>
      <w:r>
        <w:t>ORCID:</w:t>
      </w:r>
      <w:r w:rsidR="00990A92">
        <w:t xml:space="preserve"> </w:t>
      </w:r>
      <w:r w:rsidR="00667883">
        <w:t>https://orcid.org/0000-0002-9328-3593</w:t>
      </w:r>
    </w:p>
    <w:p w14:paraId="6448A68D" w14:textId="77777777" w:rsidR="001469D4" w:rsidRDefault="001469D4" w:rsidP="00667883">
      <w:pPr>
        <w:pStyle w:val="Orcid"/>
      </w:pPr>
    </w:p>
    <w:p w14:paraId="522A4DDB" w14:textId="77777777" w:rsidR="004C6342" w:rsidRPr="004C6342" w:rsidRDefault="004C6342" w:rsidP="00375629">
      <w:pPr>
        <w:pStyle w:val="Indicador2"/>
      </w:pPr>
    </w:p>
    <w:p w14:paraId="3BF9B435" w14:textId="77777777" w:rsidR="00393782" w:rsidRPr="00B47E0B" w:rsidRDefault="00931CE8" w:rsidP="00EA5838">
      <w:pPr>
        <w:pStyle w:val="TtulosResumenAbstrac"/>
      </w:pPr>
      <w:r w:rsidRPr="00B47E0B">
        <w:t>Resumen</w:t>
      </w:r>
      <w:r w:rsidR="004C6342" w:rsidRPr="00B47E0B">
        <w:t xml:space="preserve">: </w:t>
      </w:r>
      <w:r w:rsidR="009D26CF">
        <w:rPr>
          <w:b w:val="0"/>
          <w:smallCaps w:val="0"/>
        </w:rPr>
        <w:t xml:space="preserve">Desde hace ya más de una década, la formación inicial del profesorado de Educación Secundaria se rige y se estructura con el fin de desarrollar competencias docentes. Este estudio se centra en </w:t>
      </w:r>
      <w:r w:rsidR="009F3950">
        <w:rPr>
          <w:b w:val="0"/>
          <w:smallCaps w:val="0"/>
        </w:rPr>
        <w:t>examinar</w:t>
      </w:r>
      <w:r w:rsidR="009D26CF">
        <w:rPr>
          <w:b w:val="0"/>
          <w:smallCaps w:val="0"/>
        </w:rPr>
        <w:t xml:space="preserve"> </w:t>
      </w:r>
      <w:r w:rsidR="005C0F0B">
        <w:rPr>
          <w:b w:val="0"/>
          <w:smallCaps w:val="0"/>
        </w:rPr>
        <w:t>la percepción</w:t>
      </w:r>
      <w:r w:rsidR="009D26CF">
        <w:rPr>
          <w:b w:val="0"/>
          <w:smallCaps w:val="0"/>
        </w:rPr>
        <w:t xml:space="preserve"> sobre la importancia y dominio adquirido de competencias docentes antes y después del Pr</w:t>
      </w:r>
      <w:r w:rsidR="009F3950">
        <w:rPr>
          <w:b w:val="0"/>
          <w:smallCaps w:val="0"/>
        </w:rPr>
        <w:t>á</w:t>
      </w:r>
      <w:r w:rsidR="009D26CF">
        <w:rPr>
          <w:b w:val="0"/>
          <w:smallCaps w:val="0"/>
        </w:rPr>
        <w:t>cticum</w:t>
      </w:r>
      <w:r w:rsidR="009F3950">
        <w:rPr>
          <w:b w:val="0"/>
          <w:smallCaps w:val="0"/>
        </w:rPr>
        <w:t xml:space="preserve">, analizando </w:t>
      </w:r>
      <w:r w:rsidR="007D5F9E">
        <w:rPr>
          <w:b w:val="0"/>
          <w:smallCaps w:val="0"/>
        </w:rPr>
        <w:t xml:space="preserve">100 </w:t>
      </w:r>
      <w:r w:rsidR="009D26CF">
        <w:rPr>
          <w:b w:val="0"/>
          <w:smallCaps w:val="0"/>
        </w:rPr>
        <w:t>profesores en formación de la especialidad de Geografía e Historia del Máster en Profesor de Educación Secundaria</w:t>
      </w:r>
      <w:r w:rsidR="007D5F9E">
        <w:rPr>
          <w:b w:val="0"/>
          <w:smallCaps w:val="0"/>
        </w:rPr>
        <w:t xml:space="preserve"> de la Universidad de Valladolid </w:t>
      </w:r>
      <w:r w:rsidR="009F3950">
        <w:rPr>
          <w:b w:val="0"/>
          <w:smallCaps w:val="0"/>
        </w:rPr>
        <w:t>durante</w:t>
      </w:r>
      <w:r w:rsidR="007D5F9E">
        <w:rPr>
          <w:b w:val="0"/>
          <w:smallCaps w:val="0"/>
        </w:rPr>
        <w:t xml:space="preserve"> cuatro cursos académicos. </w:t>
      </w:r>
      <w:r w:rsidR="004B00A7">
        <w:rPr>
          <w:b w:val="0"/>
          <w:smallCaps w:val="0"/>
        </w:rPr>
        <w:t>Usando un diseño</w:t>
      </w:r>
      <w:r w:rsidR="007D5F9E">
        <w:rPr>
          <w:b w:val="0"/>
          <w:smallCaps w:val="0"/>
        </w:rPr>
        <w:t xml:space="preserve"> cuantitativo, </w:t>
      </w:r>
      <w:r w:rsidR="004B00A7">
        <w:rPr>
          <w:b w:val="0"/>
          <w:smallCaps w:val="0"/>
        </w:rPr>
        <w:t>es posible observar</w:t>
      </w:r>
      <w:r w:rsidR="007D5F9E">
        <w:rPr>
          <w:b w:val="0"/>
          <w:smallCaps w:val="0"/>
        </w:rPr>
        <w:t xml:space="preserve"> </w:t>
      </w:r>
      <w:r w:rsidR="004B00A7">
        <w:rPr>
          <w:b w:val="0"/>
          <w:smallCaps w:val="0"/>
        </w:rPr>
        <w:t>una percepción intermedia de dominio competencial antes del Pr</w:t>
      </w:r>
      <w:r w:rsidR="009F3950">
        <w:rPr>
          <w:b w:val="0"/>
          <w:smallCaps w:val="0"/>
        </w:rPr>
        <w:t>á</w:t>
      </w:r>
      <w:r w:rsidR="004B00A7">
        <w:rPr>
          <w:b w:val="0"/>
          <w:smallCaps w:val="0"/>
        </w:rPr>
        <w:t xml:space="preserve">cticum. Tras </w:t>
      </w:r>
      <w:r w:rsidR="00EA5838">
        <w:rPr>
          <w:b w:val="0"/>
          <w:smallCaps w:val="0"/>
        </w:rPr>
        <w:t>finalizar</w:t>
      </w:r>
      <w:r w:rsidR="00262866">
        <w:rPr>
          <w:b w:val="0"/>
          <w:smallCaps w:val="0"/>
        </w:rPr>
        <w:t>lo</w:t>
      </w:r>
      <w:r w:rsidR="007F4C36">
        <w:rPr>
          <w:b w:val="0"/>
          <w:smallCaps w:val="0"/>
        </w:rPr>
        <w:t xml:space="preserve">, se evidencian altas </w:t>
      </w:r>
      <w:r w:rsidR="004B00A7">
        <w:rPr>
          <w:b w:val="0"/>
          <w:smallCaps w:val="0"/>
        </w:rPr>
        <w:t xml:space="preserve">valoraciones de la importancia </w:t>
      </w:r>
      <w:r w:rsidR="00E95ABA">
        <w:rPr>
          <w:b w:val="0"/>
          <w:smallCaps w:val="0"/>
        </w:rPr>
        <w:t>atribuida a</w:t>
      </w:r>
      <w:r w:rsidR="004B00A7">
        <w:rPr>
          <w:b w:val="0"/>
          <w:smallCaps w:val="0"/>
        </w:rPr>
        <w:t xml:space="preserve"> las competencias docentes</w:t>
      </w:r>
      <w:r w:rsidR="00EA5838">
        <w:rPr>
          <w:b w:val="0"/>
          <w:smallCaps w:val="0"/>
        </w:rPr>
        <w:t xml:space="preserve"> (gestión del aprendizaje, el uso de estrategias y recursos, fomento de un clima de aprendizaje, comunicación, y aspectos organizativos)</w:t>
      </w:r>
      <w:r w:rsidR="004B00A7">
        <w:rPr>
          <w:b w:val="0"/>
          <w:smallCaps w:val="0"/>
        </w:rPr>
        <w:t xml:space="preserve">, </w:t>
      </w:r>
      <w:r w:rsidR="007F4C36">
        <w:rPr>
          <w:b w:val="0"/>
          <w:smallCaps w:val="0"/>
        </w:rPr>
        <w:t xml:space="preserve">pero </w:t>
      </w:r>
      <w:r w:rsidR="004B00A7">
        <w:rPr>
          <w:b w:val="0"/>
          <w:smallCaps w:val="0"/>
        </w:rPr>
        <w:t>existen contrastes</w:t>
      </w:r>
      <w:r w:rsidR="009F3950">
        <w:rPr>
          <w:b w:val="0"/>
          <w:smallCaps w:val="0"/>
        </w:rPr>
        <w:t xml:space="preserve"> estadísticamente </w:t>
      </w:r>
      <w:r w:rsidR="00262866">
        <w:rPr>
          <w:b w:val="0"/>
          <w:smallCaps w:val="0"/>
        </w:rPr>
        <w:t>significativos</w:t>
      </w:r>
      <w:r w:rsidR="004B00A7">
        <w:rPr>
          <w:b w:val="0"/>
          <w:smallCaps w:val="0"/>
        </w:rPr>
        <w:t xml:space="preserve"> con el dominio percibido. Finalmente, se presenta una discusión sobre</w:t>
      </w:r>
      <w:r w:rsidR="009F3950">
        <w:rPr>
          <w:b w:val="0"/>
          <w:smallCaps w:val="0"/>
        </w:rPr>
        <w:t xml:space="preserve"> las</w:t>
      </w:r>
      <w:r w:rsidR="004B00A7">
        <w:rPr>
          <w:b w:val="0"/>
          <w:smallCaps w:val="0"/>
        </w:rPr>
        <w:t xml:space="preserve"> perspectivas de la formación del profesorado.</w:t>
      </w:r>
      <w:r w:rsidR="00620BC6">
        <w:rPr>
          <w:b w:val="0"/>
          <w:smallCaps w:val="0"/>
        </w:rPr>
        <w:t xml:space="preserve"> </w:t>
      </w:r>
    </w:p>
    <w:p w14:paraId="75833370" w14:textId="77777777" w:rsidR="001469D4" w:rsidRPr="00375629" w:rsidRDefault="001469D4" w:rsidP="00375629">
      <w:pPr>
        <w:pStyle w:val="Indicador3"/>
      </w:pPr>
    </w:p>
    <w:p w14:paraId="455935E4" w14:textId="77777777" w:rsidR="00393782" w:rsidRDefault="00393782" w:rsidP="00B47E0B">
      <w:pPr>
        <w:pStyle w:val="TtulosResumenAbstrac"/>
      </w:pPr>
      <w:r w:rsidRPr="00B47E0B">
        <w:t>Palabras</w:t>
      </w:r>
      <w:r>
        <w:t xml:space="preserve"> clave: </w:t>
      </w:r>
      <w:r w:rsidR="00D567F7">
        <w:rPr>
          <w:b w:val="0"/>
          <w:smallCaps w:val="0"/>
        </w:rPr>
        <w:t>competencias docentes, formación inicial del profesorado, educación secundaria, geografía e historia, prácticum.</w:t>
      </w:r>
    </w:p>
    <w:p w14:paraId="0A753C61" w14:textId="77777777" w:rsidR="001469D4" w:rsidRPr="001E007B" w:rsidRDefault="001469D4" w:rsidP="007C3AFA">
      <w:pPr>
        <w:pStyle w:val="Indicador2"/>
        <w:rPr>
          <w:b/>
          <w:lang w:val="es-ES"/>
        </w:rPr>
      </w:pPr>
    </w:p>
    <w:p w14:paraId="4E9A12D4" w14:textId="12E7FE65"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9F3950">
        <w:rPr>
          <w:b w:val="0"/>
          <w:smallCaps w:val="0"/>
          <w:lang w:val="en-US"/>
        </w:rPr>
        <w:t xml:space="preserve">Since more than a decade ago, initial teacher training in secondary education is governed and structured with the aim of developing teaching competences. This study focuses on examining </w:t>
      </w:r>
      <w:r w:rsidR="005C0F0B">
        <w:rPr>
          <w:b w:val="0"/>
          <w:smallCaps w:val="0"/>
          <w:lang w:val="en-US"/>
        </w:rPr>
        <w:t>perceptions</w:t>
      </w:r>
      <w:r w:rsidR="009F3950">
        <w:rPr>
          <w:b w:val="0"/>
          <w:smallCaps w:val="0"/>
          <w:lang w:val="en-US"/>
        </w:rPr>
        <w:t xml:space="preserve"> about the importance and </w:t>
      </w:r>
      <w:r w:rsidR="00262866">
        <w:rPr>
          <w:b w:val="0"/>
          <w:smallCaps w:val="0"/>
          <w:lang w:val="en-US"/>
        </w:rPr>
        <w:t>acquired</w:t>
      </w:r>
      <w:r w:rsidR="009F3950">
        <w:rPr>
          <w:b w:val="0"/>
          <w:smallCaps w:val="0"/>
          <w:lang w:val="en-US"/>
        </w:rPr>
        <w:t xml:space="preserve"> proficiency of teaching competences before and after the Practicum, analyzing 100 trainee teachers of the Geography and History specialization of the Masters’ Degree in Secondary Education Teaching</w:t>
      </w:r>
      <w:r w:rsidR="007B1069">
        <w:rPr>
          <w:b w:val="0"/>
          <w:smallCaps w:val="0"/>
          <w:lang w:val="en-US"/>
        </w:rPr>
        <w:t xml:space="preserve"> at the University of Valladolid</w:t>
      </w:r>
      <w:r w:rsidR="009F3950">
        <w:rPr>
          <w:b w:val="0"/>
          <w:smallCaps w:val="0"/>
          <w:lang w:val="en-US"/>
        </w:rPr>
        <w:t xml:space="preserve"> over four academic years. </w:t>
      </w:r>
      <w:r w:rsidR="00262866">
        <w:rPr>
          <w:b w:val="0"/>
          <w:smallCaps w:val="0"/>
          <w:lang w:val="en-US"/>
        </w:rPr>
        <w:t xml:space="preserve">Using a quantitative design, an intermediate perception of competence proficiency can be observed before the Practicum. After finishing it, </w:t>
      </w:r>
      <w:r w:rsidR="007F4C36">
        <w:rPr>
          <w:b w:val="0"/>
          <w:smallCaps w:val="0"/>
          <w:lang w:val="en-US"/>
        </w:rPr>
        <w:t>the assessment</w:t>
      </w:r>
      <w:r w:rsidR="00262866">
        <w:rPr>
          <w:b w:val="0"/>
          <w:smallCaps w:val="0"/>
          <w:lang w:val="en-US"/>
        </w:rPr>
        <w:t xml:space="preserve"> regarding the importance of teaching competences (teaching management, use of </w:t>
      </w:r>
      <w:r w:rsidR="00262866">
        <w:rPr>
          <w:b w:val="0"/>
          <w:smallCaps w:val="0"/>
          <w:lang w:val="en-US"/>
        </w:rPr>
        <w:lastRenderedPageBreak/>
        <w:t>strategies and resources, promotion of a teaching climate, communication, and organizational aspects)</w:t>
      </w:r>
      <w:r w:rsidR="007F4C36">
        <w:rPr>
          <w:b w:val="0"/>
          <w:smallCaps w:val="0"/>
          <w:lang w:val="en-US"/>
        </w:rPr>
        <w:t xml:space="preserve"> are high, but</w:t>
      </w:r>
      <w:r w:rsidR="00262866">
        <w:rPr>
          <w:b w:val="0"/>
          <w:smallCaps w:val="0"/>
          <w:lang w:val="en-US"/>
        </w:rPr>
        <w:t xml:space="preserve"> there are statistically significant contrasts with the perceived domain of said competences. Finally, a discussion regarding the perspectives of teaching training is presented.</w:t>
      </w:r>
    </w:p>
    <w:p w14:paraId="07D134B2" w14:textId="77777777" w:rsidR="001469D4" w:rsidRPr="00541DEB" w:rsidRDefault="001469D4" w:rsidP="00375629">
      <w:pPr>
        <w:pStyle w:val="Indicador3"/>
        <w:rPr>
          <w:b/>
          <w:lang w:val="en-US"/>
        </w:rPr>
      </w:pPr>
    </w:p>
    <w:p w14:paraId="7FDF56CB" w14:textId="77777777"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D567F7">
        <w:rPr>
          <w:b w:val="0"/>
          <w:smallCaps w:val="0"/>
          <w:lang w:val="en-US"/>
        </w:rPr>
        <w:t>teaching competences, initial teacher training, secondary education, geography and history, practicum.</w:t>
      </w:r>
    </w:p>
    <w:p w14:paraId="3611AA8C" w14:textId="77777777" w:rsidR="001469D4" w:rsidRPr="001E007B" w:rsidRDefault="001469D4" w:rsidP="00375629">
      <w:pPr>
        <w:pStyle w:val="Indicador2"/>
        <w:rPr>
          <w:b/>
          <w:lang w:val="en-US"/>
        </w:rPr>
      </w:pPr>
    </w:p>
    <w:p w14:paraId="5EC89FFD" w14:textId="77777777"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14:paraId="51AE92A9" w14:textId="77777777" w:rsidR="00946429" w:rsidRPr="00946429" w:rsidRDefault="00207F76" w:rsidP="00B47E0B">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14:paraId="313D50DC" w14:textId="77777777" w:rsidR="001469D4" w:rsidRDefault="001469D4" w:rsidP="00375629">
      <w:pPr>
        <w:pStyle w:val="Indicador2"/>
        <w:rPr>
          <w:b/>
        </w:rPr>
      </w:pPr>
    </w:p>
    <w:p w14:paraId="1853DE3E" w14:textId="77777777" w:rsidR="00C91866" w:rsidRDefault="00C91866" w:rsidP="00375629">
      <w:pPr>
        <w:pStyle w:val="Indicador2"/>
        <w:rPr>
          <w:b/>
        </w:rPr>
      </w:pPr>
    </w:p>
    <w:p w14:paraId="6481AD97" w14:textId="77777777"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6EAECA2F" wp14:editId="428F6050">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D2382"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5DED551E" w14:textId="52CFD02B" w:rsidR="0013331D" w:rsidRPr="001503F1" w:rsidRDefault="0081260B" w:rsidP="00B47E0B">
      <w:pPr>
        <w:pStyle w:val="Agradecimientos"/>
        <w:rPr>
          <w:b/>
          <w:smallCaps/>
        </w:rPr>
      </w:pPr>
      <w:r>
        <w:t>Los autores agradecen a la Facultad de Educación y Trabajo Social de la Universidad de Valladolid el apoyo recibido</w:t>
      </w:r>
      <w:r w:rsidR="00580853">
        <w:t xml:space="preserve"> para el desarrollo de la investigación</w:t>
      </w:r>
      <w:r>
        <w:t xml:space="preserve">. Igualmente, agradecen a los estudiantes del Máster en Profesor de </w:t>
      </w:r>
      <w:r w:rsidR="00634F9F">
        <w:t>ESO y Bachillerato, Formación Profesional y Enseñanza de Idiomas</w:t>
      </w:r>
      <w:r>
        <w:t xml:space="preserve"> de la especialidad de Geografía e Historia su </w:t>
      </w:r>
      <w:r w:rsidR="00580853">
        <w:t xml:space="preserve">desinteresada </w:t>
      </w:r>
      <w:r>
        <w:t>colaboración.</w:t>
      </w:r>
      <w:r w:rsidR="0013331D" w:rsidRPr="001503F1">
        <w:br w:type="page"/>
      </w:r>
    </w:p>
    <w:p w14:paraId="74E742E0" w14:textId="77777777" w:rsidR="008E14ED" w:rsidRDefault="000543C0" w:rsidP="008E14ED">
      <w:pPr>
        <w:pStyle w:val="Encabezado1"/>
        <w:spacing w:before="0" w:after="0"/>
      </w:pPr>
      <w:r>
        <w:lastRenderedPageBreak/>
        <w:t>Introducción y marco teórico</w:t>
      </w:r>
    </w:p>
    <w:p w14:paraId="66FD898D" w14:textId="77777777" w:rsidR="008E14ED" w:rsidRPr="008E14ED" w:rsidRDefault="008E14ED" w:rsidP="00375629">
      <w:pPr>
        <w:pStyle w:val="Indicador2"/>
        <w:rPr>
          <w:b/>
        </w:rPr>
      </w:pPr>
    </w:p>
    <w:p w14:paraId="2792E1EE" w14:textId="77777777" w:rsidR="007E2A5E" w:rsidRDefault="007E2A5E" w:rsidP="008B2D27">
      <w:pPr>
        <w:pStyle w:val="TextoNormal"/>
      </w:pPr>
      <w:r>
        <w:t>Cercano el umbral del primer cuarto de</w:t>
      </w:r>
      <w:r w:rsidR="008B2D27">
        <w:t>l</w:t>
      </w:r>
      <w:r>
        <w:t xml:space="preserve"> siglo XXI, </w:t>
      </w:r>
      <w:r w:rsidR="008B2D27">
        <w:t>es posible</w:t>
      </w:r>
      <w:r>
        <w:t xml:space="preserve"> afirmar que el aprendizaje por competencias dispone ya de un estimable recorrido que atañe a todas las etapas educativas, sin olvidar los más altos niveles de la enseñanza superior.</w:t>
      </w:r>
      <w:r w:rsidR="008B2D27">
        <w:t xml:space="preserve"> </w:t>
      </w:r>
      <w:r>
        <w:t>En este ámbito, el impulso recibido por la necesidad de armonizar las titulaciones universit</w:t>
      </w:r>
      <w:r w:rsidR="008B2D27">
        <w:t>arias del espacio común europeo</w:t>
      </w:r>
      <w:r>
        <w:t xml:space="preserve"> </w:t>
      </w:r>
      <w:r w:rsidR="008B2D27">
        <w:t>marcó</w:t>
      </w:r>
      <w:r>
        <w:t xml:space="preserve"> un antes y un después en la forma de entender los procesos formativos de los universitarios. </w:t>
      </w:r>
      <w:r w:rsidR="008B2D27">
        <w:t>El proceso de c</w:t>
      </w:r>
      <w:r>
        <w:t xml:space="preserve">onvergencia </w:t>
      </w:r>
      <w:r w:rsidR="008B2D27">
        <w:t>e</w:t>
      </w:r>
      <w:r>
        <w:t>uropea, apoyándose y haciendo suyos los principios del Informe Delors (1996), plante</w:t>
      </w:r>
      <w:r w:rsidR="008B2D27">
        <w:t>ó</w:t>
      </w:r>
      <w:r>
        <w:t xml:space="preserve"> una reformulación de las titulaciones donde la enseñanza tradicional de conocimie</w:t>
      </w:r>
      <w:r w:rsidR="008B2D27">
        <w:t xml:space="preserve">ntos, debería hacer hueco a otros </w:t>
      </w:r>
      <w:r w:rsidR="008B2D27" w:rsidRPr="00580853">
        <w:t>tres</w:t>
      </w:r>
      <w:r w:rsidR="008B2D27" w:rsidRPr="008B2D27">
        <w:rPr>
          <w:i/>
        </w:rPr>
        <w:t xml:space="preserve"> pilares de la educación</w:t>
      </w:r>
      <w:r>
        <w:t xml:space="preserve">: aprender a hacer, aprender a ser y aprender a convivir. </w:t>
      </w:r>
    </w:p>
    <w:p w14:paraId="48F23D07" w14:textId="77777777" w:rsidR="007E2A5E" w:rsidRDefault="007E2A5E" w:rsidP="007E2A5E">
      <w:pPr>
        <w:pStyle w:val="TextoNormal"/>
      </w:pPr>
      <w:r>
        <w:t xml:space="preserve">Así, en el año 2000, un año después de la Declaración de Bolonia, la Comisión Europea </w:t>
      </w:r>
      <w:r w:rsidR="00B8701A">
        <w:t>apoyó</w:t>
      </w:r>
      <w:r w:rsidR="00601035">
        <w:t xml:space="preserve"> financieramente el proyecto </w:t>
      </w:r>
      <w:r w:rsidRPr="00601035">
        <w:rPr>
          <w:i/>
        </w:rPr>
        <w:t>Tuning Higher E</w:t>
      </w:r>
      <w:r w:rsidR="00601035" w:rsidRPr="00601035">
        <w:rPr>
          <w:i/>
        </w:rPr>
        <w:t>ducational Structures in Europe</w:t>
      </w:r>
      <w:r>
        <w:t xml:space="preserve"> con la finalidad de redefinir </w:t>
      </w:r>
      <w:r w:rsidR="00B8701A">
        <w:t>las titulaciones universitarias</w:t>
      </w:r>
      <w:r>
        <w:t xml:space="preserve"> a partir de una formación basada en competencias y centrada en el estudiante (González, 2007). Comienza, entonces, la an</w:t>
      </w:r>
      <w:r w:rsidR="00B8701A">
        <w:t xml:space="preserve">dadura del término </w:t>
      </w:r>
      <w:r w:rsidR="00B8701A" w:rsidRPr="00B8701A">
        <w:rPr>
          <w:i/>
        </w:rPr>
        <w:t>competencia</w:t>
      </w:r>
      <w:r>
        <w:t xml:space="preserve"> como aglutinante de los diferentes saberes universitarios (académico, práctico y actitudinal), y como puente entre lo formativo y lo laboral.</w:t>
      </w:r>
    </w:p>
    <w:p w14:paraId="101C2005" w14:textId="08F1D48E" w:rsidR="007E2A5E" w:rsidRDefault="007E2A5E" w:rsidP="007E2A5E">
      <w:pPr>
        <w:pStyle w:val="TextoNormal"/>
      </w:pPr>
      <w:r>
        <w:t>Esta transformación, si bien afectó a la formación en todos los campos profesionales, tuvo una importante repercusión en la profesión docente. El desarrollo socio-económico de la sociedad europea en la segunda mitad del siglo XX había hecho realidad una educación obligatoria hasta bien entrada la adolescencia, propiciando un alumnado numeroso y muy variad</w:t>
      </w:r>
      <w:r w:rsidR="007E085A">
        <w:t xml:space="preserve">o. Como </w:t>
      </w:r>
      <w:r w:rsidR="00580853">
        <w:t xml:space="preserve">se </w:t>
      </w:r>
      <w:r w:rsidR="00B8701A">
        <w:t xml:space="preserve">señaló </w:t>
      </w:r>
      <w:r w:rsidR="00B7556A">
        <w:t>en el informe de</w:t>
      </w:r>
      <w:r w:rsidR="007E085A">
        <w:t xml:space="preserve"> Eurydice</w:t>
      </w:r>
      <w:r w:rsidR="00B8701A">
        <w:t xml:space="preserve"> (2002)</w:t>
      </w:r>
      <w:r w:rsidR="007E085A">
        <w:t>,</w:t>
      </w:r>
      <w:r>
        <w:t xml:space="preserve"> muchos países europeos habían venido realizando reformas en la formación del profesorado desde hacía años para adaptarse a esta nueva realidad. No obstante, </w:t>
      </w:r>
      <w:r w:rsidR="00B8701A">
        <w:t>fue entonces cuando culminaron</w:t>
      </w:r>
      <w:r>
        <w:t xml:space="preserve"> bajo los nuevos principios pedagógicos, dirigiendo las mejoras en la cualificación docente hacia una mayor atención </w:t>
      </w:r>
      <w:r w:rsidR="00B8701A">
        <w:t>a las habilidades profesionales</w:t>
      </w:r>
      <w:r>
        <w:t xml:space="preserve"> frente a las académicas. </w:t>
      </w:r>
    </w:p>
    <w:p w14:paraId="22051791" w14:textId="4073F219" w:rsidR="004B410F" w:rsidRDefault="007E2A5E" w:rsidP="007E2A5E">
      <w:pPr>
        <w:pStyle w:val="TextoNormal"/>
      </w:pPr>
      <w:r>
        <w:t>Así sucedió en el caso español, cuando, en el curso 2009-2010, se implantó el Máster en Profesor de ESO y Bachillerato, Formación Profesional y Enseñanza de Idiomas (MUPES), extinguiéndose el Certific</w:t>
      </w:r>
      <w:r w:rsidR="00B8701A">
        <w:t>ado de Aptitud Pedagógica (CAP)</w:t>
      </w:r>
      <w:r>
        <w:t xml:space="preserve"> después de más de treinta años de vigencia y un claro desprestigio en su puesta en pr</w:t>
      </w:r>
      <w:r w:rsidR="00031D2D">
        <w:t>áctica (González Gallego, 2009)</w:t>
      </w:r>
      <w:r>
        <w:t>. Este Máster, además de elevar la duración y categoría del nivel de la formación inicial del profesorado de secundaria en España, aportó un nuevo enfoque formativo basado en el desarrollo competencial.</w:t>
      </w:r>
    </w:p>
    <w:p w14:paraId="3865CE8C" w14:textId="77777777" w:rsidR="008E14ED" w:rsidRPr="001469D4" w:rsidRDefault="008E14ED" w:rsidP="00375629">
      <w:pPr>
        <w:pStyle w:val="Indicador2"/>
        <w:rPr>
          <w:b/>
        </w:rPr>
      </w:pPr>
    </w:p>
    <w:p w14:paraId="34B1A588" w14:textId="77777777" w:rsidR="001B14E9" w:rsidRPr="007E085A" w:rsidRDefault="001503F1" w:rsidP="007E2A5E">
      <w:pPr>
        <w:pStyle w:val="Titulodelapartado"/>
        <w:rPr>
          <w:lang w:val="es-ES"/>
        </w:rPr>
      </w:pPr>
      <w:r w:rsidRPr="007E085A">
        <w:rPr>
          <w:lang w:val="es-ES"/>
        </w:rPr>
        <w:t xml:space="preserve"> </w:t>
      </w:r>
      <w:r w:rsidR="007E2A5E" w:rsidRPr="007E085A">
        <w:rPr>
          <w:lang w:val="es-ES"/>
        </w:rPr>
        <w:t>Las competencias profesionales del profesor de Secundaria</w:t>
      </w:r>
    </w:p>
    <w:p w14:paraId="1E280FA0" w14:textId="77777777" w:rsidR="008E14ED" w:rsidRPr="001469D4" w:rsidRDefault="008E14ED" w:rsidP="00375629">
      <w:pPr>
        <w:pStyle w:val="Indicador2"/>
        <w:rPr>
          <w:b/>
        </w:rPr>
      </w:pPr>
    </w:p>
    <w:p w14:paraId="01EC2FF7" w14:textId="77777777" w:rsidR="00B8701A" w:rsidRDefault="007E2A5E" w:rsidP="00B8701A">
      <w:pPr>
        <w:pStyle w:val="TextoNormal"/>
        <w:rPr>
          <w:lang w:val="es-ES"/>
        </w:rPr>
      </w:pPr>
      <w:r w:rsidRPr="007E2A5E">
        <w:rPr>
          <w:lang w:val="es-ES"/>
        </w:rPr>
        <w:t xml:space="preserve">El concepto de competencia docente, según Perrenoud (2004), se refiere a la capacidad para movilizar diversos recursos cognitivos al afrontar un tipo de situación determinada, incidiendo en el sentido aplicado en un contexto, del conjunto de </w:t>
      </w:r>
      <w:r w:rsidRPr="00FE39E5">
        <w:rPr>
          <w:lang w:val="es-ES"/>
        </w:rPr>
        <w:t>conocimientos y habilidades activados. Para Escudero (2006), las competencias docentes están relacionadas con una serie de valores, creencias y compromisos tanto colectivos como individuales, junto a los conocimientos técnicos, capacidades y actitudes de los docentes, tanto en el plano colectivo (considerando que forman parte de grupos de trabajo e instituciones educativas) como a nivel de esfuerzo personal.</w:t>
      </w:r>
    </w:p>
    <w:p w14:paraId="5CF8CB1B" w14:textId="77777777" w:rsidR="007E2A5E" w:rsidRPr="007E2A5E" w:rsidRDefault="00B8701A" w:rsidP="00B8701A">
      <w:pPr>
        <w:pStyle w:val="TextoNormal"/>
        <w:rPr>
          <w:lang w:val="es-ES"/>
        </w:rPr>
      </w:pPr>
      <w:r w:rsidRPr="00B8701A">
        <w:rPr>
          <w:lang w:val="es-ES"/>
        </w:rPr>
        <w:t>Para Tejada</w:t>
      </w:r>
      <w:r>
        <w:rPr>
          <w:lang w:val="es-ES"/>
        </w:rPr>
        <w:t xml:space="preserve"> y Ruiz Bueno</w:t>
      </w:r>
      <w:r w:rsidRPr="00B8701A">
        <w:rPr>
          <w:lang w:val="es-ES"/>
        </w:rPr>
        <w:t xml:space="preserve"> (2013), pasar del saber a la acción es una reconstrucción: es un proce</w:t>
      </w:r>
      <w:r>
        <w:rPr>
          <w:lang w:val="es-ES"/>
        </w:rPr>
        <w:t>so con valor añadido. Según estos autores</w:t>
      </w:r>
      <w:r w:rsidRPr="00B8701A">
        <w:rPr>
          <w:lang w:val="es-ES"/>
        </w:rPr>
        <w:t>, esto indica que la competencia es u</w:t>
      </w:r>
      <w:r>
        <w:rPr>
          <w:lang w:val="es-ES"/>
        </w:rPr>
        <w:t xml:space="preserve">n proceso delante de un estado: </w:t>
      </w:r>
      <w:r w:rsidRPr="00B8701A">
        <w:rPr>
          <w:lang w:val="es-ES"/>
        </w:rPr>
        <w:t>es poniendo en práctica-acción la competencia como se llega a ser competente. En este sentido de actuación profesional, también podemos aludir a que la competencia está contaminada de ética.</w:t>
      </w:r>
      <w:r>
        <w:rPr>
          <w:lang w:val="es-ES"/>
        </w:rPr>
        <w:t xml:space="preserve"> </w:t>
      </w:r>
      <w:r w:rsidR="007E2A5E" w:rsidRPr="007E2A5E">
        <w:rPr>
          <w:lang w:val="es-ES"/>
        </w:rPr>
        <w:t>Así mi</w:t>
      </w:r>
      <w:r w:rsidR="00FE39E5">
        <w:rPr>
          <w:lang w:val="es-ES"/>
        </w:rPr>
        <w:t>smo, Pavié</w:t>
      </w:r>
      <w:r w:rsidR="007E2A5E" w:rsidRPr="007E2A5E">
        <w:rPr>
          <w:lang w:val="es-ES"/>
        </w:rPr>
        <w:t xml:space="preserve"> (2011) señala que las competencias docentes no son únicamente capacidades que se adquieren a través de la formación inicial, sino </w:t>
      </w:r>
      <w:r w:rsidR="00FE39E5">
        <w:rPr>
          <w:lang w:val="es-ES"/>
        </w:rPr>
        <w:t>que se crean y se recrean,</w:t>
      </w:r>
      <w:r w:rsidR="007E2A5E" w:rsidRPr="007E2A5E">
        <w:rPr>
          <w:lang w:val="es-ES"/>
        </w:rPr>
        <w:t xml:space="preserve"> a partir de un componente reflexivo y ético, a través de la práctica profesional. Pa</w:t>
      </w:r>
      <w:r w:rsidR="00FE39E5">
        <w:rPr>
          <w:lang w:val="es-ES"/>
        </w:rPr>
        <w:t>ra Mateo (2007), el concepto de</w:t>
      </w:r>
      <w:r w:rsidR="007E2A5E" w:rsidRPr="007E2A5E">
        <w:rPr>
          <w:lang w:val="es-ES"/>
        </w:rPr>
        <w:t xml:space="preserve"> competencia se refiere al uso funcional de los conocimientos y habilidades </w:t>
      </w:r>
      <w:r w:rsidR="007E2A5E" w:rsidRPr="007E2A5E">
        <w:rPr>
          <w:lang w:val="es-ES"/>
        </w:rPr>
        <w:lastRenderedPageBreak/>
        <w:t>en diversos contextos, implicando comprensión, reflexión y discernimiento, teniendo en cuenta la dimensión social de las actuaciones a realizar. En este sentido, Buendía</w:t>
      </w:r>
      <w:r w:rsidR="004116EE">
        <w:rPr>
          <w:lang w:val="es-ES"/>
        </w:rPr>
        <w:t xml:space="preserve"> et al.</w:t>
      </w:r>
      <w:r w:rsidR="007E2A5E" w:rsidRPr="007E2A5E">
        <w:rPr>
          <w:lang w:val="es-ES"/>
        </w:rPr>
        <w:t xml:space="preserve"> (2011) señala</w:t>
      </w:r>
      <w:r>
        <w:rPr>
          <w:lang w:val="es-ES"/>
        </w:rPr>
        <w:t>n</w:t>
      </w:r>
      <w:r w:rsidR="007E2A5E" w:rsidRPr="007E2A5E">
        <w:rPr>
          <w:lang w:val="es-ES"/>
        </w:rPr>
        <w:t xml:space="preserve"> algunos principios comunes de las distintas definiciones de competencia: se relaciona con la acción y su aplicación permite el desarrollo y actualización; se vincula a una situación dada en un contexto determinado; proporciona la resolución eficaz de las situaciones; y finalmente, está constituida por conocimientos, habilidades y actitudes que integran el saber, saber hacer y saber ser, proporcionando resultados tangibles y medibles.</w:t>
      </w:r>
    </w:p>
    <w:p w14:paraId="4F94A360" w14:textId="77777777" w:rsidR="007E2A5E" w:rsidRPr="007E2A5E" w:rsidRDefault="007E2A5E" w:rsidP="007E2A5E">
      <w:pPr>
        <w:pStyle w:val="TextoNormal"/>
        <w:rPr>
          <w:lang w:val="es-ES"/>
        </w:rPr>
      </w:pPr>
      <w:r w:rsidRPr="007E2A5E">
        <w:rPr>
          <w:lang w:val="es-ES"/>
        </w:rPr>
        <w:t xml:space="preserve">Por lo que respecta al profesorado de </w:t>
      </w:r>
      <w:r w:rsidR="00EF491B">
        <w:rPr>
          <w:lang w:val="es-ES"/>
        </w:rPr>
        <w:t>Educación S</w:t>
      </w:r>
      <w:r w:rsidRPr="007E2A5E">
        <w:rPr>
          <w:lang w:val="es-ES"/>
        </w:rPr>
        <w:t>ecundaria, la actual formación ini</w:t>
      </w:r>
      <w:r w:rsidR="002D0950">
        <w:rPr>
          <w:lang w:val="es-ES"/>
        </w:rPr>
        <w:t xml:space="preserve">cial, </w:t>
      </w:r>
      <w:r w:rsidR="002D0950" w:rsidRPr="00EF491B">
        <w:rPr>
          <w:lang w:val="es-ES"/>
        </w:rPr>
        <w:t xml:space="preserve">establecida por la Orden </w:t>
      </w:r>
      <w:r w:rsidRPr="00EF491B">
        <w:rPr>
          <w:lang w:val="es-ES"/>
        </w:rPr>
        <w:t xml:space="preserve">Ministerial ECI/3858/2007, de 27 de diciembre, plantea un marco de once competencias que los futuros docentes deben adquirir a través del </w:t>
      </w:r>
      <w:r w:rsidR="00EF491B" w:rsidRPr="00EF491B">
        <w:rPr>
          <w:lang w:val="es-ES"/>
        </w:rPr>
        <w:t>MUPES</w:t>
      </w:r>
      <w:r w:rsidRPr="00EF491B">
        <w:rPr>
          <w:lang w:val="es-ES"/>
        </w:rPr>
        <w:t>.</w:t>
      </w:r>
      <w:r w:rsidR="00FE39E5" w:rsidRPr="00EF491B">
        <w:rPr>
          <w:lang w:val="es-ES"/>
        </w:rPr>
        <w:t xml:space="preserve"> En</w:t>
      </w:r>
      <w:r w:rsidR="00FE39E5">
        <w:rPr>
          <w:lang w:val="es-ES"/>
        </w:rPr>
        <w:t xml:space="preserve"> ella se establece</w:t>
      </w:r>
      <w:r w:rsidRPr="007E2A5E">
        <w:rPr>
          <w:lang w:val="es-ES"/>
        </w:rPr>
        <w:t xml:space="preserve"> la competencia para planificar, desarrollar y evaluar los procesos de enseñanza y a</w:t>
      </w:r>
      <w:r w:rsidR="00FE39E5">
        <w:rPr>
          <w:lang w:val="es-ES"/>
        </w:rPr>
        <w:t xml:space="preserve">prendizaje; </w:t>
      </w:r>
      <w:r w:rsidR="00EF491B">
        <w:rPr>
          <w:lang w:val="es-ES"/>
        </w:rPr>
        <w:t xml:space="preserve">así como </w:t>
      </w:r>
      <w:r w:rsidR="00FE39E5">
        <w:rPr>
          <w:lang w:val="es-ES"/>
        </w:rPr>
        <w:t>la competencia para</w:t>
      </w:r>
      <w:r w:rsidRPr="007E2A5E">
        <w:rPr>
          <w:lang w:val="es-ES"/>
        </w:rPr>
        <w:t xml:space="preserve"> adquirir estrategias y desarrollar habilidades de</w:t>
      </w:r>
      <w:r w:rsidR="002D0950">
        <w:rPr>
          <w:lang w:val="es-ES"/>
        </w:rPr>
        <w:t xml:space="preserve"> pensamiento y decisión; </w:t>
      </w:r>
      <w:r w:rsidRPr="007E2A5E">
        <w:rPr>
          <w:lang w:val="es-ES"/>
        </w:rPr>
        <w:t xml:space="preserve">la competencia para desarrollar metodologías didácticas adaptadas a la diversidad del alumnado; o la competencia de conocer los procesos de interacción y comunicación en el aula, entre otras. Éstas </w:t>
      </w:r>
      <w:r w:rsidR="00EF491B">
        <w:rPr>
          <w:lang w:val="es-ES"/>
        </w:rPr>
        <w:t>conducirían</w:t>
      </w:r>
      <w:r w:rsidRPr="007E2A5E">
        <w:rPr>
          <w:lang w:val="es-ES"/>
        </w:rPr>
        <w:t xml:space="preserve"> a una formación integral enfocada a formar personas, más que a una formación curricul</w:t>
      </w:r>
      <w:r w:rsidR="00031D2D">
        <w:rPr>
          <w:lang w:val="es-ES"/>
        </w:rPr>
        <w:t>ar estricta (Sola et al.,</w:t>
      </w:r>
      <w:r w:rsidR="00EF491B">
        <w:rPr>
          <w:lang w:val="es-ES"/>
        </w:rPr>
        <w:t xml:space="preserve"> 2020), y </w:t>
      </w:r>
      <w:r w:rsidR="00EF491B" w:rsidRPr="00EF491B">
        <w:rPr>
          <w:lang w:val="es-ES"/>
        </w:rPr>
        <w:t>se desarrollarían tanto a través de la formación teórico-práctica como del desarrollo del Prácticum (Cabrerizo et al., 2011)</w:t>
      </w:r>
      <w:r w:rsidR="00EF491B">
        <w:rPr>
          <w:lang w:val="es-ES"/>
        </w:rPr>
        <w:t>.</w:t>
      </w:r>
    </w:p>
    <w:p w14:paraId="144C7F2E" w14:textId="77777777" w:rsidR="007E2A5E" w:rsidRPr="007E2A5E" w:rsidRDefault="007E2A5E" w:rsidP="007E2A5E">
      <w:pPr>
        <w:pStyle w:val="TextoNormal"/>
        <w:rPr>
          <w:lang w:val="es-ES"/>
        </w:rPr>
      </w:pPr>
      <w:r w:rsidRPr="007E2A5E">
        <w:rPr>
          <w:lang w:val="es-ES"/>
        </w:rPr>
        <w:t>Son varios los autores que, desde el área de Didáctica de las Ciencias Sociales, han realizado aportaciones sobre las competencias docente</w:t>
      </w:r>
      <w:r w:rsidR="00F55107">
        <w:rPr>
          <w:lang w:val="es-ES"/>
        </w:rPr>
        <w:t>s del profesorado de Secundaria</w:t>
      </w:r>
      <w:r w:rsidRPr="007E2A5E">
        <w:rPr>
          <w:lang w:val="es-ES"/>
        </w:rPr>
        <w:t xml:space="preserve"> a partir de los marcos teórico existentes y de su propia experiencia profesional. Por una parte, Tribó (2008) apunta cuatro grandes categorías: científicas (saber), técnicas (saber hacer), sociales/participativas (saber estar) y personales/</w:t>
      </w:r>
      <w:r w:rsidR="00F55107">
        <w:rPr>
          <w:lang w:val="es-ES"/>
        </w:rPr>
        <w:t xml:space="preserve">interpersonales/intrapersonales </w:t>
      </w:r>
      <w:r w:rsidRPr="007E2A5E">
        <w:rPr>
          <w:lang w:val="es-ES"/>
        </w:rPr>
        <w:t>(saber ser). Por su parte</w:t>
      </w:r>
      <w:r w:rsidR="00F55107">
        <w:rPr>
          <w:lang w:val="es-ES"/>
        </w:rPr>
        <w:t>,</w:t>
      </w:r>
      <w:r w:rsidRPr="007E2A5E">
        <w:rPr>
          <w:lang w:val="es-ES"/>
        </w:rPr>
        <w:t xml:space="preserve"> Larriba (2010) establece una categorización de las competencias contextualizadas para el caso de Ciencias Sociales, Geografía e Historia. En primer </w:t>
      </w:r>
      <w:r w:rsidR="00F55107" w:rsidRPr="007E2A5E">
        <w:rPr>
          <w:lang w:val="es-ES"/>
        </w:rPr>
        <w:t>lugar,</w:t>
      </w:r>
      <w:r w:rsidRPr="007E2A5E">
        <w:rPr>
          <w:lang w:val="es-ES"/>
        </w:rPr>
        <w:t xml:space="preserve"> plantea competencias relacionadas con las áreas de conocimiento de origen y co</w:t>
      </w:r>
      <w:r w:rsidR="00F55107">
        <w:rPr>
          <w:lang w:val="es-ES"/>
        </w:rPr>
        <w:t>n las ciencias de la educación, mientras que, e</w:t>
      </w:r>
      <w:r w:rsidRPr="007E2A5E">
        <w:rPr>
          <w:lang w:val="es-ES"/>
        </w:rPr>
        <w:t xml:space="preserve">n segundo lugar, estarían aquellas relativas a las capacidades y habilidades prácticas, como conocer principios metodológicos, utilizar diversos recursos didácticos o implementar diferentes técnicas de evaluación. A estas se añadirían categorías relativas a valores y actitudes, junto a las relacionadas con la trayectoria profesional. </w:t>
      </w:r>
    </w:p>
    <w:p w14:paraId="55B7D15D" w14:textId="68D34344" w:rsidR="008C2638" w:rsidRDefault="00910531" w:rsidP="007E2A5E">
      <w:pPr>
        <w:pStyle w:val="TextoNormal"/>
      </w:pPr>
      <w:r>
        <w:rPr>
          <w:lang w:val="es-ES"/>
        </w:rPr>
        <w:t>Respecto a la relevancia</w:t>
      </w:r>
      <w:r w:rsidR="007E2A5E" w:rsidRPr="007E2A5E">
        <w:rPr>
          <w:lang w:val="es-ES"/>
        </w:rPr>
        <w:t xml:space="preserve"> de las prácticas en la formación y desarrollo de competencias del profesorado de Secundaria, Casas (2010) apunta competencias personales y profesionales que se deben desarrollar a través del Prácticum. </w:t>
      </w:r>
      <w:r w:rsidR="001F3298">
        <w:rPr>
          <w:lang w:val="es-ES"/>
        </w:rPr>
        <w:t>L</w:t>
      </w:r>
      <w:r w:rsidR="007E2A5E" w:rsidRPr="007E2A5E">
        <w:rPr>
          <w:lang w:val="es-ES"/>
        </w:rPr>
        <w:t xml:space="preserve">as </w:t>
      </w:r>
      <w:r w:rsidR="00B7556A">
        <w:rPr>
          <w:lang w:val="es-ES"/>
        </w:rPr>
        <w:t>primeras</w:t>
      </w:r>
      <w:r w:rsidR="007E2A5E" w:rsidRPr="007E2A5E">
        <w:rPr>
          <w:lang w:val="es-ES"/>
        </w:rPr>
        <w:t xml:space="preserve"> abarcarían tanto las intrapersonales (cómo gestionar adecuadamente las emociones) como las interpersonales (cómo participar activa y empáticamente). Las profesionales </w:t>
      </w:r>
      <w:r w:rsidR="00F55107">
        <w:rPr>
          <w:lang w:val="es-ES"/>
        </w:rPr>
        <w:t>serían</w:t>
      </w:r>
      <w:r w:rsidR="007E2A5E" w:rsidRPr="007E2A5E">
        <w:rPr>
          <w:lang w:val="es-ES"/>
        </w:rPr>
        <w:t xml:space="preserve"> más extensas y se </w:t>
      </w:r>
      <w:r w:rsidR="00443419">
        <w:rPr>
          <w:lang w:val="es-ES"/>
        </w:rPr>
        <w:t>relacionarían</w:t>
      </w:r>
      <w:r w:rsidR="007E2A5E" w:rsidRPr="007E2A5E">
        <w:rPr>
          <w:lang w:val="es-ES"/>
        </w:rPr>
        <w:t xml:space="preserve"> con la “acción educativa de enseñar y aprender ciencia y con la manera de gestionar la vida del centro” (</w:t>
      </w:r>
      <w:r w:rsidR="00F55107">
        <w:rPr>
          <w:lang w:val="es-ES"/>
        </w:rPr>
        <w:t xml:space="preserve">Casas, 2010, </w:t>
      </w:r>
      <w:r w:rsidR="007E2A5E" w:rsidRPr="007E2A5E">
        <w:rPr>
          <w:lang w:val="es-ES"/>
        </w:rPr>
        <w:t xml:space="preserve">p. 317), </w:t>
      </w:r>
      <w:r w:rsidR="00F55107">
        <w:rPr>
          <w:lang w:val="es-ES"/>
        </w:rPr>
        <w:t>abarcando</w:t>
      </w:r>
      <w:r w:rsidR="007E2A5E" w:rsidRPr="007E2A5E">
        <w:rPr>
          <w:lang w:val="es-ES"/>
        </w:rPr>
        <w:t xml:space="preserve"> desde la construcción y planificación de secuencias didácticas a aspectos organizativos y de comunicación</w:t>
      </w:r>
      <w:r w:rsidR="00F55107">
        <w:rPr>
          <w:lang w:val="es-ES"/>
        </w:rPr>
        <w:t>.</w:t>
      </w:r>
    </w:p>
    <w:p w14:paraId="07E7CBD5" w14:textId="77777777" w:rsidR="007E2A5E" w:rsidRDefault="007E2A5E" w:rsidP="007E2A5E">
      <w:pPr>
        <w:pStyle w:val="Estilo1"/>
        <w:ind w:firstLine="0"/>
        <w:rPr>
          <w:i w:val="0"/>
        </w:rPr>
      </w:pPr>
    </w:p>
    <w:p w14:paraId="62836532" w14:textId="77777777" w:rsidR="007E2A5E" w:rsidRPr="007E085A" w:rsidRDefault="007E2A5E" w:rsidP="007E2A5E">
      <w:pPr>
        <w:pStyle w:val="Titulodelapartado"/>
        <w:rPr>
          <w:lang w:val="es-ES"/>
        </w:rPr>
      </w:pPr>
      <w:r w:rsidRPr="007E085A">
        <w:rPr>
          <w:lang w:val="es-ES"/>
        </w:rPr>
        <w:t xml:space="preserve"> Las competencias docentes y</w:t>
      </w:r>
      <w:r w:rsidR="00B7556A">
        <w:rPr>
          <w:lang w:val="es-ES"/>
        </w:rPr>
        <w:t xml:space="preserve"> el</w:t>
      </w:r>
      <w:r w:rsidRPr="007E085A">
        <w:rPr>
          <w:lang w:val="es-ES"/>
        </w:rPr>
        <w:t xml:space="preserve"> Prácticum en el MUPES</w:t>
      </w:r>
    </w:p>
    <w:p w14:paraId="65CE1F8E" w14:textId="77777777" w:rsidR="007E2A5E" w:rsidRPr="001469D4" w:rsidRDefault="007E2A5E" w:rsidP="007E2A5E">
      <w:pPr>
        <w:pStyle w:val="Indicador2"/>
        <w:rPr>
          <w:b/>
        </w:rPr>
      </w:pPr>
    </w:p>
    <w:p w14:paraId="2F9D761C" w14:textId="398EE62A" w:rsidR="00D211C4" w:rsidRPr="00297ED7" w:rsidRDefault="007E2A5E" w:rsidP="007E2A5E">
      <w:pPr>
        <w:pStyle w:val="TextoNormal"/>
        <w:rPr>
          <w:color w:val="FF0000"/>
          <w:lang w:val="es-ES"/>
        </w:rPr>
      </w:pPr>
      <w:r w:rsidRPr="007E2A5E">
        <w:rPr>
          <w:lang w:val="es-ES"/>
        </w:rPr>
        <w:t>Diversos trabajos han analizado la adquisición de las competencias docentes</w:t>
      </w:r>
      <w:r w:rsidR="004116EE">
        <w:rPr>
          <w:lang w:val="es-ES"/>
        </w:rPr>
        <w:t xml:space="preserve"> en el</w:t>
      </w:r>
      <w:r w:rsidRPr="007E2A5E">
        <w:rPr>
          <w:lang w:val="es-ES"/>
        </w:rPr>
        <w:t xml:space="preserve"> Máster en Profesor de Educación Secundaria</w:t>
      </w:r>
      <w:r w:rsidR="004116EE">
        <w:rPr>
          <w:lang w:val="es-ES"/>
        </w:rPr>
        <w:t xml:space="preserve">, diferenciando el propio desarrollo del </w:t>
      </w:r>
      <w:r w:rsidR="00667883">
        <w:rPr>
          <w:lang w:val="es-ES"/>
        </w:rPr>
        <w:t>Prácticum</w:t>
      </w:r>
      <w:r w:rsidR="00A4226F" w:rsidRPr="00A4226F">
        <w:rPr>
          <w:lang w:val="es-ES"/>
        </w:rPr>
        <w:t xml:space="preserve"> </w:t>
      </w:r>
      <w:r w:rsidR="00A4226F">
        <w:rPr>
          <w:lang w:val="es-ES"/>
        </w:rPr>
        <w:t>en casos específicos</w:t>
      </w:r>
      <w:r w:rsidRPr="007E2A5E">
        <w:rPr>
          <w:lang w:val="es-ES"/>
        </w:rPr>
        <w:t xml:space="preserve">. </w:t>
      </w:r>
      <w:r w:rsidR="00D211C4" w:rsidRPr="00D211C4">
        <w:rPr>
          <w:lang w:val="es-ES"/>
        </w:rPr>
        <w:t>Cano, Orejudo y Cortés (2012) llevaron a cabo una investigación con los alumnos del MUPES en la Universidad de Zaragoza, con el fin de analizar la percepción de necesidades de formación y la valoración del Prácticum</w:t>
      </w:r>
      <w:r w:rsidR="00D211C4">
        <w:rPr>
          <w:lang w:val="es-ES"/>
        </w:rPr>
        <w:t xml:space="preserve">, </w:t>
      </w:r>
      <w:r w:rsidR="00D211C4" w:rsidRPr="00D211C4">
        <w:rPr>
          <w:lang w:val="es-ES"/>
        </w:rPr>
        <w:t xml:space="preserve">empleando cuestionarios antes y después de su realización. Los autores señalan la heterogeneidad de las necesidades de formación </w:t>
      </w:r>
      <w:r w:rsidR="00FB7CFC" w:rsidRPr="00D211C4">
        <w:rPr>
          <w:lang w:val="es-ES"/>
        </w:rPr>
        <w:t xml:space="preserve">percibidas </w:t>
      </w:r>
      <w:r w:rsidR="00D211C4" w:rsidRPr="00D211C4">
        <w:rPr>
          <w:lang w:val="es-ES"/>
        </w:rPr>
        <w:t>en función del género, experiencia profesional previa o p</w:t>
      </w:r>
      <w:r w:rsidR="00D211C4">
        <w:rPr>
          <w:lang w:val="es-ES"/>
        </w:rPr>
        <w:t xml:space="preserve">rocedencia de entornos </w:t>
      </w:r>
      <w:r w:rsidR="00D211C4" w:rsidRPr="00164C3F">
        <w:rPr>
          <w:lang w:val="es-ES"/>
        </w:rPr>
        <w:t xml:space="preserve">rurales, </w:t>
      </w:r>
      <w:r w:rsidR="00FB7CFC" w:rsidRPr="00164C3F">
        <w:rPr>
          <w:lang w:val="es-ES"/>
        </w:rPr>
        <w:t xml:space="preserve">y resaltan que </w:t>
      </w:r>
      <w:r w:rsidR="00D211C4" w:rsidRPr="00164C3F">
        <w:rPr>
          <w:lang w:val="es-ES"/>
        </w:rPr>
        <w:t>el Prácticum obtiene una valoración media-alta por parte de los docentes en formación.</w:t>
      </w:r>
      <w:r w:rsidR="00297ED7" w:rsidRPr="00164C3F">
        <w:rPr>
          <w:lang w:val="es-ES"/>
        </w:rPr>
        <w:t xml:space="preserve"> </w:t>
      </w:r>
      <w:bookmarkStart w:id="0" w:name="_GoBack"/>
      <w:r w:rsidR="00297ED7" w:rsidRPr="00164C3F">
        <w:rPr>
          <w:lang w:val="es-ES"/>
        </w:rPr>
        <w:t xml:space="preserve">Esta valoración media-alta también se manifiesta en el estudio llevado a cabo por </w:t>
      </w:r>
      <w:r w:rsidR="00F76123" w:rsidRPr="00164C3F">
        <w:rPr>
          <w:lang w:val="es-ES"/>
        </w:rPr>
        <w:t>Gil-</w:t>
      </w:r>
      <w:r w:rsidR="00297ED7" w:rsidRPr="00164C3F">
        <w:rPr>
          <w:lang w:val="es-ES"/>
        </w:rPr>
        <w:t>Molina et al. (2018) en la Universidad del País Vasco, tanto por parte del alumnado del Máster como por parte de los profesores tutores de los centros de Educación Secundaria.</w:t>
      </w:r>
    </w:p>
    <w:bookmarkEnd w:id="0"/>
    <w:p w14:paraId="46C8DCC0" w14:textId="77777777" w:rsidR="007E2A5E" w:rsidRDefault="007E2A5E" w:rsidP="007E2A5E">
      <w:pPr>
        <w:pStyle w:val="TextoNormal"/>
        <w:rPr>
          <w:lang w:val="es-ES"/>
        </w:rPr>
      </w:pPr>
      <w:r w:rsidRPr="007E2A5E">
        <w:rPr>
          <w:lang w:val="es-ES"/>
        </w:rPr>
        <w:lastRenderedPageBreak/>
        <w:t>Desde un enfoque más global, estudios recientes como el desarrollado por Sarceda-Gorgoso, Santos-González y Rego-Agraso (2020) en cuatro universidades españolas</w:t>
      </w:r>
      <w:r w:rsidR="00A4226F">
        <w:rPr>
          <w:lang w:val="es-ES"/>
        </w:rPr>
        <w:t xml:space="preserve"> muestra</w:t>
      </w:r>
      <w:r w:rsidRPr="007E2A5E">
        <w:rPr>
          <w:lang w:val="es-ES"/>
        </w:rPr>
        <w:t xml:space="preserve"> que</w:t>
      </w:r>
      <w:r w:rsidR="006B04A7">
        <w:rPr>
          <w:lang w:val="es-ES"/>
        </w:rPr>
        <w:t xml:space="preserve"> </w:t>
      </w:r>
      <w:r w:rsidRPr="007E2A5E">
        <w:rPr>
          <w:lang w:val="es-ES"/>
        </w:rPr>
        <w:t xml:space="preserve">el profesorado en formación, partiendo de una autopercepción inicial moderada del dominio de las competencias docentes, </w:t>
      </w:r>
      <w:r w:rsidR="00A4226F">
        <w:rPr>
          <w:lang w:val="es-ES"/>
        </w:rPr>
        <w:t>percibe una mejora de dicho dominio</w:t>
      </w:r>
      <w:r w:rsidRPr="007E2A5E">
        <w:rPr>
          <w:lang w:val="es-ES"/>
        </w:rPr>
        <w:t xml:space="preserve"> tras su paso por el MUPES.</w:t>
      </w:r>
      <w:r w:rsidR="00031D2D">
        <w:rPr>
          <w:lang w:val="es-ES"/>
        </w:rPr>
        <w:t xml:space="preserve"> Por su parte, Sola et al. (</w:t>
      </w:r>
      <w:r w:rsidR="00031D2D" w:rsidRPr="007E2A5E">
        <w:rPr>
          <w:lang w:val="es-ES"/>
        </w:rPr>
        <w:t>2020</w:t>
      </w:r>
      <w:r w:rsidR="00031D2D">
        <w:rPr>
          <w:lang w:val="es-ES"/>
        </w:rPr>
        <w:t>) ponen su foco, en esta ocasión, en la importancia atribuida por los futuros profes</w:t>
      </w:r>
      <w:r w:rsidR="00FE39E5">
        <w:rPr>
          <w:lang w:val="es-ES"/>
        </w:rPr>
        <w:t>ores de Secundaria</w:t>
      </w:r>
      <w:r w:rsidR="00031D2D">
        <w:rPr>
          <w:lang w:val="es-ES"/>
        </w:rPr>
        <w:t xml:space="preserve"> a las competencias docentes. </w:t>
      </w:r>
      <w:r w:rsidR="00A34A53">
        <w:rPr>
          <w:lang w:val="es-ES"/>
        </w:rPr>
        <w:t xml:space="preserve">En su análisis, los autores destacan que aquellas competencias ligadas a la organización institucional educativa y a la carrera profesional son valoradas de manera notablemente más baja que </w:t>
      </w:r>
      <w:r w:rsidR="00634966" w:rsidRPr="0020536A">
        <w:rPr>
          <w:lang w:val="es-ES"/>
        </w:rPr>
        <w:t>las relacionadas con</w:t>
      </w:r>
      <w:r w:rsidR="00634966">
        <w:rPr>
          <w:lang w:val="es-ES"/>
        </w:rPr>
        <w:t xml:space="preserve"> </w:t>
      </w:r>
      <w:r w:rsidR="0020536A">
        <w:rPr>
          <w:lang w:val="es-ES"/>
        </w:rPr>
        <w:t>la planificación, desarrollo y evaluación de procesos de enseñanza-aprendizaje, o con el fomento del espíritu crítico y la igualdad.</w:t>
      </w:r>
    </w:p>
    <w:p w14:paraId="22C97DA8" w14:textId="77777777" w:rsidR="007E2A5E" w:rsidRDefault="004116EE" w:rsidP="007E2A5E">
      <w:pPr>
        <w:pStyle w:val="TextoNormal"/>
        <w:rPr>
          <w:lang w:val="es-ES"/>
        </w:rPr>
      </w:pPr>
      <w:r>
        <w:rPr>
          <w:lang w:val="es-ES"/>
        </w:rPr>
        <w:t xml:space="preserve">En la misma línea, y con un carácter global, </w:t>
      </w:r>
      <w:r w:rsidR="007E2A5E" w:rsidRPr="007E2A5E">
        <w:rPr>
          <w:lang w:val="es-ES"/>
        </w:rPr>
        <w:t xml:space="preserve">Buendía et al. (2011) </w:t>
      </w:r>
      <w:r w:rsidR="00A4226F">
        <w:rPr>
          <w:lang w:val="es-ES"/>
        </w:rPr>
        <w:t>llevaron a cabo</w:t>
      </w:r>
      <w:r w:rsidR="007E2A5E" w:rsidRPr="007E2A5E">
        <w:rPr>
          <w:lang w:val="es-ES"/>
        </w:rPr>
        <w:t xml:space="preserve"> un estudio con profesores en formación de la Universidad de Granada sobre la </w:t>
      </w:r>
      <w:r>
        <w:rPr>
          <w:lang w:val="es-ES"/>
        </w:rPr>
        <w:t xml:space="preserve">manera en la que éstos valoraban diversas competencias docentes desarrolladas a lo largo del Máster, incluyendo el </w:t>
      </w:r>
      <w:r w:rsidR="00667883">
        <w:rPr>
          <w:lang w:val="es-ES"/>
        </w:rPr>
        <w:t>Prácticum</w:t>
      </w:r>
      <w:r>
        <w:rPr>
          <w:lang w:val="es-ES"/>
        </w:rPr>
        <w:t xml:space="preserve">. Al respecto, </w:t>
      </w:r>
      <w:r w:rsidR="00230BA4">
        <w:rPr>
          <w:lang w:val="es-ES"/>
        </w:rPr>
        <w:t>se atribuye una alta valoración a las competencias ligadas al fomento del espíritu crítico, algo que más tarde refrendaría Sola et al. (</w:t>
      </w:r>
      <w:r w:rsidR="00230BA4" w:rsidRPr="007E2A5E">
        <w:rPr>
          <w:lang w:val="es-ES"/>
        </w:rPr>
        <w:t>2020</w:t>
      </w:r>
      <w:r w:rsidR="00230BA4">
        <w:rPr>
          <w:lang w:val="es-ES"/>
        </w:rPr>
        <w:t xml:space="preserve">). De hecho, las cuatro competencias más valoradas </w:t>
      </w:r>
      <w:r w:rsidR="00094601">
        <w:rPr>
          <w:lang w:val="es-ES"/>
        </w:rPr>
        <w:t xml:space="preserve">están </w:t>
      </w:r>
      <w:r w:rsidR="00230BA4">
        <w:rPr>
          <w:lang w:val="es-ES"/>
        </w:rPr>
        <w:t xml:space="preserve">ligadas a la evaluación, </w:t>
      </w:r>
      <w:r w:rsidR="00094601">
        <w:rPr>
          <w:lang w:val="es-ES"/>
        </w:rPr>
        <w:t xml:space="preserve">a la </w:t>
      </w:r>
      <w:r w:rsidR="00230BA4">
        <w:rPr>
          <w:lang w:val="es-ES"/>
        </w:rPr>
        <w:t xml:space="preserve">elaboración de propuestas didácticas, </w:t>
      </w:r>
      <w:r w:rsidR="00094601">
        <w:rPr>
          <w:lang w:val="es-ES"/>
        </w:rPr>
        <w:t xml:space="preserve">a la </w:t>
      </w:r>
      <w:r w:rsidR="00230BA4">
        <w:rPr>
          <w:lang w:val="es-ES"/>
        </w:rPr>
        <w:t xml:space="preserve">detección de dificultades de aprendizaje y </w:t>
      </w:r>
      <w:r w:rsidR="00094601">
        <w:rPr>
          <w:lang w:val="es-ES"/>
        </w:rPr>
        <w:t>al fomento de un clima de aula participativo.</w:t>
      </w:r>
      <w:r w:rsidR="00505800">
        <w:rPr>
          <w:lang w:val="es-ES"/>
        </w:rPr>
        <w:t xml:space="preserve"> </w:t>
      </w:r>
      <w:r w:rsidR="00505800" w:rsidRPr="007E2A5E">
        <w:rPr>
          <w:lang w:val="es-ES"/>
        </w:rPr>
        <w:t>Buendía et al. (2011)</w:t>
      </w:r>
      <w:r w:rsidR="00505800">
        <w:rPr>
          <w:lang w:val="es-ES"/>
        </w:rPr>
        <w:t xml:space="preserve"> tambi</w:t>
      </w:r>
      <w:r w:rsidR="00057B63">
        <w:rPr>
          <w:lang w:val="es-ES"/>
        </w:rPr>
        <w:t xml:space="preserve">én </w:t>
      </w:r>
      <w:r w:rsidR="00A4226F">
        <w:rPr>
          <w:lang w:val="es-ES"/>
        </w:rPr>
        <w:t>analizan en su investigación</w:t>
      </w:r>
      <w:r w:rsidR="00057B63">
        <w:rPr>
          <w:lang w:val="es-ES"/>
        </w:rPr>
        <w:t xml:space="preserve"> la autopercepción sobre aquellas</w:t>
      </w:r>
      <w:r w:rsidR="00505800">
        <w:rPr>
          <w:lang w:val="es-ES"/>
        </w:rPr>
        <w:t xml:space="preserve"> competencias</w:t>
      </w:r>
      <w:r w:rsidR="00057B63">
        <w:rPr>
          <w:lang w:val="es-ES"/>
        </w:rPr>
        <w:t xml:space="preserve"> más y menos desarrolladas tras el paso por el MUPES, detectando que los docentes en formación </w:t>
      </w:r>
      <w:r w:rsidR="00A4226F">
        <w:rPr>
          <w:lang w:val="es-ES"/>
        </w:rPr>
        <w:t>notan</w:t>
      </w:r>
      <w:r w:rsidR="00057B63">
        <w:rPr>
          <w:lang w:val="es-ES"/>
        </w:rPr>
        <w:t xml:space="preserve"> carencias a la hora de usar TIC con carácter educativo, mientras se </w:t>
      </w:r>
      <w:r w:rsidR="00A4226F">
        <w:rPr>
          <w:lang w:val="es-ES"/>
        </w:rPr>
        <w:t>ven</w:t>
      </w:r>
      <w:r w:rsidR="00057B63">
        <w:rPr>
          <w:lang w:val="es-ES"/>
        </w:rPr>
        <w:t xml:space="preserve"> más competentes para, por ejemplo, relacionar la educación con el </w:t>
      </w:r>
      <w:r w:rsidR="004349EC">
        <w:rPr>
          <w:lang w:val="es-ES"/>
        </w:rPr>
        <w:t>medio socio-educativo,</w:t>
      </w:r>
      <w:r w:rsidR="00057B63">
        <w:rPr>
          <w:lang w:val="es-ES"/>
        </w:rPr>
        <w:t xml:space="preserve"> o conocer las dificultades de aprendizaje del alumnado.</w:t>
      </w:r>
    </w:p>
    <w:p w14:paraId="26E64995" w14:textId="684F52D7" w:rsidR="00031D2D" w:rsidRDefault="00EF0AD5" w:rsidP="007E2A5E">
      <w:pPr>
        <w:pStyle w:val="TextoNormal"/>
        <w:rPr>
          <w:lang w:val="es-ES"/>
        </w:rPr>
      </w:pPr>
      <w:r>
        <w:rPr>
          <w:lang w:val="es-ES"/>
        </w:rPr>
        <w:t xml:space="preserve">Este contraste entre la importancia y el dominio de las competencias docentes ha sido abordado por otros estudios, en esta ocasión, centrados </w:t>
      </w:r>
      <w:r w:rsidR="00A4226F">
        <w:rPr>
          <w:lang w:val="es-ES"/>
        </w:rPr>
        <w:t xml:space="preserve">primordialmente </w:t>
      </w:r>
      <w:r>
        <w:rPr>
          <w:lang w:val="es-ES"/>
        </w:rPr>
        <w:t xml:space="preserve">en el </w:t>
      </w:r>
      <w:r w:rsidR="00667883">
        <w:rPr>
          <w:lang w:val="es-ES"/>
        </w:rPr>
        <w:t>Prácticum</w:t>
      </w:r>
      <w:r>
        <w:rPr>
          <w:lang w:val="es-ES"/>
        </w:rPr>
        <w:t xml:space="preserve"> del MUPES. Analizando al profesorado en formación de la Universidad de Oviedo, García Rodríguez, Pascual Sevillano</w:t>
      </w:r>
      <w:r w:rsidR="00566918">
        <w:rPr>
          <w:lang w:val="es-ES"/>
        </w:rPr>
        <w:t xml:space="preserve"> y</w:t>
      </w:r>
      <w:r>
        <w:rPr>
          <w:lang w:val="es-ES"/>
        </w:rPr>
        <w:t xml:space="preserve"> Fombona Cadavieco (2011)</w:t>
      </w:r>
      <w:r w:rsidR="00566918">
        <w:rPr>
          <w:lang w:val="es-ES"/>
        </w:rPr>
        <w:t xml:space="preserve"> </w:t>
      </w:r>
      <w:r w:rsidR="00D211C4">
        <w:rPr>
          <w:lang w:val="es-ES"/>
        </w:rPr>
        <w:t>pusieron el foco en</w:t>
      </w:r>
      <w:r w:rsidR="00566918">
        <w:rPr>
          <w:lang w:val="es-ES"/>
        </w:rPr>
        <w:t xml:space="preserve"> la valoración asignada y el grado de desarrollo de competencias</w:t>
      </w:r>
      <w:r w:rsidR="00D00F63">
        <w:rPr>
          <w:lang w:val="es-ES"/>
        </w:rPr>
        <w:t xml:space="preserve"> </w:t>
      </w:r>
      <w:r w:rsidR="00566918">
        <w:rPr>
          <w:lang w:val="es-ES"/>
        </w:rPr>
        <w:t>después del periodo de prácticas en los centros.</w:t>
      </w:r>
      <w:r w:rsidR="00D00F63">
        <w:rPr>
          <w:lang w:val="es-ES"/>
        </w:rPr>
        <w:t xml:space="preserve"> </w:t>
      </w:r>
      <w:r w:rsidR="00A4226F">
        <w:rPr>
          <w:lang w:val="es-ES"/>
        </w:rPr>
        <w:t xml:space="preserve">Estos autores </w:t>
      </w:r>
      <w:r w:rsidR="00D211C4">
        <w:rPr>
          <w:lang w:val="es-ES"/>
        </w:rPr>
        <w:t>detectaron</w:t>
      </w:r>
      <w:r w:rsidR="00D00F63">
        <w:rPr>
          <w:lang w:val="es-ES"/>
        </w:rPr>
        <w:t xml:space="preserve"> que, tras valorar 25 competencias, los participantes no </w:t>
      </w:r>
      <w:r w:rsidR="00D211C4">
        <w:rPr>
          <w:lang w:val="es-ES"/>
        </w:rPr>
        <w:t>consideran</w:t>
      </w:r>
      <w:r w:rsidR="00D00F63">
        <w:rPr>
          <w:lang w:val="es-ES"/>
        </w:rPr>
        <w:t xml:space="preserve"> </w:t>
      </w:r>
      <w:r w:rsidR="00D211C4">
        <w:rPr>
          <w:lang w:val="es-ES"/>
        </w:rPr>
        <w:t>innecesarias</w:t>
      </w:r>
      <w:r w:rsidR="00D00F63">
        <w:rPr>
          <w:lang w:val="es-ES"/>
        </w:rPr>
        <w:t xml:space="preserve"> ninguna de ellas, </w:t>
      </w:r>
      <w:r w:rsidR="001F3298">
        <w:rPr>
          <w:lang w:val="es-ES"/>
        </w:rPr>
        <w:t>seleccionando</w:t>
      </w:r>
      <w:r w:rsidR="001F3298" w:rsidRPr="00931875">
        <w:rPr>
          <w:lang w:val="es-ES"/>
        </w:rPr>
        <w:t xml:space="preserve"> </w:t>
      </w:r>
      <w:r w:rsidR="000B7A4F">
        <w:rPr>
          <w:lang w:val="es-ES"/>
        </w:rPr>
        <w:t xml:space="preserve">12 como imprescindibles. En cambio, al examinar la percepción del grado de desarrollo de éstas, </w:t>
      </w:r>
      <w:r w:rsidR="00D211C4">
        <w:rPr>
          <w:lang w:val="es-ES"/>
        </w:rPr>
        <w:t>los autores detectaron</w:t>
      </w:r>
      <w:r w:rsidR="000B7A4F">
        <w:rPr>
          <w:lang w:val="es-ES"/>
        </w:rPr>
        <w:t xml:space="preserve"> que los docentes en formación </w:t>
      </w:r>
      <w:r w:rsidR="00D211C4">
        <w:rPr>
          <w:lang w:val="es-ES"/>
        </w:rPr>
        <w:t>consideran</w:t>
      </w:r>
      <w:r w:rsidR="000B7A4F">
        <w:rPr>
          <w:lang w:val="es-ES"/>
        </w:rPr>
        <w:t xml:space="preserve"> poco desarrolladas las referidas a participar en investigación e innovación, y al asesoramiento a las familias.</w:t>
      </w:r>
    </w:p>
    <w:p w14:paraId="6BA1B1C4" w14:textId="77777777" w:rsidR="009739A7" w:rsidRDefault="001F4EB9" w:rsidP="007E2A5E">
      <w:pPr>
        <w:pStyle w:val="TextoNormal"/>
        <w:rPr>
          <w:lang w:val="es-ES"/>
        </w:rPr>
      </w:pPr>
      <w:r>
        <w:rPr>
          <w:lang w:val="es-ES"/>
        </w:rPr>
        <w:t xml:space="preserve">Este mismo enfoque comparativo también ha sido asumido por </w:t>
      </w:r>
      <w:r w:rsidR="00C63772">
        <w:rPr>
          <w:lang w:val="es-ES"/>
        </w:rPr>
        <w:t>Serrano y Pontes (2017), quienes, usando el Prácticum como foco de interés, y examinando a docentes en formación de la Universidad de Córdoba, también trataron de poner en relación el interés y el grado de dominio de competencias docentes. En su estudio, ambos autores detectan que la percepción de los profesores en formación tras acabar el periodo de prácticas en los centros es de un dominio medio-alto de las competencias, especialmente en lo referido a la planificación de los procesos de enseñanza-aprendizaje. De igual forma, los participantes otorgan valoraciones altas-muy altas en relación a la importancia de las diversas competencias, especialmente en las ligadas al fomento de un buen clima de aula, la gestión de los procesos de enseñanza y el desarrollo de la comunicación.</w:t>
      </w:r>
      <w:r w:rsidR="00BA4AAE">
        <w:rPr>
          <w:lang w:val="es-ES"/>
        </w:rPr>
        <w:t xml:space="preserve"> Ahora bien, es llamativa la</w:t>
      </w:r>
      <w:r w:rsidR="00886DB3">
        <w:rPr>
          <w:lang w:val="es-ES"/>
        </w:rPr>
        <w:t>s</w:t>
      </w:r>
      <w:r w:rsidR="00BA4AAE">
        <w:rPr>
          <w:lang w:val="es-ES"/>
        </w:rPr>
        <w:t xml:space="preserve"> diferencia</w:t>
      </w:r>
      <w:r w:rsidR="00886DB3">
        <w:rPr>
          <w:lang w:val="es-ES"/>
        </w:rPr>
        <w:t>s sistemáticas</w:t>
      </w:r>
      <w:r w:rsidR="00BA4AAE">
        <w:rPr>
          <w:lang w:val="es-ES"/>
        </w:rPr>
        <w:t xml:space="preserve"> encontrada</w:t>
      </w:r>
      <w:r w:rsidR="00886DB3">
        <w:rPr>
          <w:lang w:val="es-ES"/>
        </w:rPr>
        <w:t>s</w:t>
      </w:r>
      <w:r w:rsidR="00BA4AAE">
        <w:rPr>
          <w:lang w:val="es-ES"/>
        </w:rPr>
        <w:t xml:space="preserve"> entre la importancia y el nivel de desarrollo percibido de las competencias, </w:t>
      </w:r>
      <w:r w:rsidR="00886DB3">
        <w:rPr>
          <w:lang w:val="es-ES"/>
        </w:rPr>
        <w:t>aunque los autores encuentran un paralelismo entre ambas categorías que “pone de manifiesto las principales debilidades y fortalezas del Máster” (2017, p. 15). Este estudio se toma, de hecho, como principal referencia en la presente investigación, por lo que será detallado y comparado con más profundidad en la discusión.</w:t>
      </w:r>
    </w:p>
    <w:p w14:paraId="352DA7D6" w14:textId="77777777" w:rsidR="007E2A5E" w:rsidRPr="007E2A5E" w:rsidRDefault="007E2A5E" w:rsidP="007E2A5E">
      <w:pPr>
        <w:pStyle w:val="TextoNormal"/>
        <w:rPr>
          <w:lang w:val="es-ES"/>
        </w:rPr>
      </w:pPr>
      <w:r w:rsidRPr="007E2A5E">
        <w:rPr>
          <w:lang w:val="es-ES"/>
        </w:rPr>
        <w:t xml:space="preserve">Centrándose en la especialidad de </w:t>
      </w:r>
      <w:r w:rsidRPr="00EF0AD5">
        <w:rPr>
          <w:i/>
          <w:lang w:val="es-ES"/>
        </w:rPr>
        <w:t>Geografía e Historia</w:t>
      </w:r>
      <w:r w:rsidRPr="007E2A5E">
        <w:rPr>
          <w:lang w:val="es-ES"/>
        </w:rPr>
        <w:t>, son varios los trabajos que se han focalizado en diferentes aspectos ligados al Prácticum del MUPES</w:t>
      </w:r>
      <w:r w:rsidR="00D6583C">
        <w:rPr>
          <w:lang w:val="es-ES"/>
        </w:rPr>
        <w:t>, aunque sin llegar a centrarse de forma específica en las competencias docentes</w:t>
      </w:r>
      <w:r w:rsidRPr="007E2A5E">
        <w:rPr>
          <w:lang w:val="es-ES"/>
        </w:rPr>
        <w:t xml:space="preserve">. Por ejemplo, Moner Mora y Oller i Freixa (2014), analizaron las expectativas del profesorado en formación frente al Prácticum antes de incorporarse a </w:t>
      </w:r>
      <w:r w:rsidRPr="007E2A5E">
        <w:rPr>
          <w:lang w:val="es-ES"/>
        </w:rPr>
        <w:lastRenderedPageBreak/>
        <w:t xml:space="preserve">los centros de Secundaria. De este estudio se deduce la importancia de las tutorías como fórmula para superar las carencias y los miedos iniciales, contribuyendo a que las expectativas generadas se reconstruyan a través del contacto con los centros educativos. </w:t>
      </w:r>
    </w:p>
    <w:p w14:paraId="338C8B7E" w14:textId="77777777" w:rsidR="007E2A5E" w:rsidRPr="007E2A5E" w:rsidRDefault="007E2A5E" w:rsidP="007E2A5E">
      <w:pPr>
        <w:pStyle w:val="TextoNormal"/>
        <w:rPr>
          <w:lang w:val="es-ES"/>
        </w:rPr>
      </w:pPr>
      <w:r w:rsidRPr="007E2A5E">
        <w:rPr>
          <w:lang w:val="es-ES"/>
        </w:rPr>
        <w:t>En un estudio comparativo entre Colombia, Brasil</w:t>
      </w:r>
      <w:r w:rsidR="00D6583C">
        <w:rPr>
          <w:lang w:val="es-ES"/>
        </w:rPr>
        <w:t xml:space="preserve"> y España, </w:t>
      </w:r>
      <w:r w:rsidR="00F1500C">
        <w:rPr>
          <w:lang w:val="es-ES"/>
        </w:rPr>
        <w:t>Madela Calvo et al.</w:t>
      </w:r>
      <w:r w:rsidRPr="007E2A5E">
        <w:rPr>
          <w:lang w:val="es-ES"/>
        </w:rPr>
        <w:t xml:space="preserve"> </w:t>
      </w:r>
      <w:r w:rsidR="00D6583C">
        <w:rPr>
          <w:lang w:val="es-ES"/>
        </w:rPr>
        <w:t xml:space="preserve">(2020) </w:t>
      </w:r>
      <w:r w:rsidRPr="007E2A5E">
        <w:rPr>
          <w:lang w:val="es-ES"/>
        </w:rPr>
        <w:t xml:space="preserve">señalan los obstáculos y problemas identificados a los que los futuros profesores se enfrentan al realizar el </w:t>
      </w:r>
      <w:r w:rsidR="00D6583C">
        <w:rPr>
          <w:lang w:val="es-ES"/>
        </w:rPr>
        <w:t>P</w:t>
      </w:r>
      <w:r w:rsidRPr="007E2A5E">
        <w:rPr>
          <w:lang w:val="es-ES"/>
        </w:rPr>
        <w:t>rácticum. Entre ellos se indica la necesidad compartida de ampliar el periodo de prácticas y las dificultades de coordinación entre tutores de universid</w:t>
      </w:r>
      <w:r w:rsidR="00D6583C">
        <w:rPr>
          <w:lang w:val="es-ES"/>
        </w:rPr>
        <w:t xml:space="preserve">ad y de los centros educativos. </w:t>
      </w:r>
      <w:r w:rsidRPr="007E2A5E">
        <w:rPr>
          <w:lang w:val="es-ES"/>
        </w:rPr>
        <w:t>De los Reyes, a partir de un estudio de caso con dos estudiantes de la especialidad, señala cómo, a lo largo del curso, los profesores en formación experimentan “cierta metamorfosis con las prácticas” (</w:t>
      </w:r>
      <w:r w:rsidR="00D6583C">
        <w:rPr>
          <w:lang w:val="es-ES"/>
        </w:rPr>
        <w:t xml:space="preserve">De los Reyes, 2020, </w:t>
      </w:r>
      <w:r w:rsidRPr="007E2A5E">
        <w:rPr>
          <w:lang w:val="es-ES"/>
        </w:rPr>
        <w:t xml:space="preserve">p. 212) al descubrir la importancia de las Ciencias Sociales en la escuela Secundaria. De la misma manera, Albert, Fuentes y Palos (2012), </w:t>
      </w:r>
      <w:r w:rsidR="00D6583C">
        <w:rPr>
          <w:lang w:val="es-ES"/>
        </w:rPr>
        <w:t>destacan</w:t>
      </w:r>
      <w:r w:rsidRPr="007E2A5E">
        <w:rPr>
          <w:lang w:val="es-ES"/>
        </w:rPr>
        <w:t xml:space="preserve"> que </w:t>
      </w:r>
      <w:r w:rsidR="00D6583C">
        <w:rPr>
          <w:lang w:val="es-ES"/>
        </w:rPr>
        <w:t>participar en el</w:t>
      </w:r>
      <w:r w:rsidRPr="007E2A5E">
        <w:rPr>
          <w:lang w:val="es-ES"/>
        </w:rPr>
        <w:t xml:space="preserve"> Prácticum </w:t>
      </w:r>
      <w:r w:rsidR="00D6583C">
        <w:rPr>
          <w:lang w:val="es-ES"/>
        </w:rPr>
        <w:t xml:space="preserve">significa </w:t>
      </w:r>
      <w:r w:rsidRPr="007E2A5E">
        <w:rPr>
          <w:lang w:val="es-ES"/>
        </w:rPr>
        <w:t>conocer la dinámica de trabajo del profesor</w:t>
      </w:r>
      <w:r w:rsidR="00D6583C">
        <w:rPr>
          <w:lang w:val="es-ES"/>
        </w:rPr>
        <w:t>,</w:t>
      </w:r>
      <w:r w:rsidRPr="007E2A5E">
        <w:rPr>
          <w:lang w:val="es-ES"/>
        </w:rPr>
        <w:t xml:space="preserve"> y sobre todo sentirse parte activa de un Departamento de Ciencias Sociales.</w:t>
      </w:r>
      <w:r w:rsidR="00D6583C">
        <w:rPr>
          <w:lang w:val="es-ES"/>
        </w:rPr>
        <w:t xml:space="preserve"> De hecho, l</w:t>
      </w:r>
      <w:r w:rsidRPr="007E2A5E">
        <w:rPr>
          <w:lang w:val="es-ES"/>
        </w:rPr>
        <w:t>as prácticas del MUPES constituyen una oportunidad para “romper definitivamente las barreras que han mantenido alejados a los centros de s</w:t>
      </w:r>
      <w:r w:rsidR="00D6583C">
        <w:rPr>
          <w:lang w:val="es-ES"/>
        </w:rPr>
        <w:t>ecundaria y la universidad</w:t>
      </w:r>
      <w:r w:rsidR="00D6583C" w:rsidRPr="00D6583C">
        <w:rPr>
          <w:lang w:val="es-ES"/>
        </w:rPr>
        <w:t>” (Suá</w:t>
      </w:r>
      <w:r w:rsidRPr="00D6583C">
        <w:rPr>
          <w:lang w:val="es-ES"/>
        </w:rPr>
        <w:t>rez, 2010</w:t>
      </w:r>
      <w:r w:rsidR="00D6583C">
        <w:rPr>
          <w:lang w:val="es-ES"/>
        </w:rPr>
        <w:t>)</w:t>
      </w:r>
      <w:r w:rsidRPr="007E2A5E">
        <w:rPr>
          <w:lang w:val="es-ES"/>
        </w:rPr>
        <w:t xml:space="preserve">, promoviendo la innovación e investigación aplicada.  </w:t>
      </w:r>
    </w:p>
    <w:p w14:paraId="31D036F1" w14:textId="77777777" w:rsidR="007E2A5E" w:rsidRPr="007E2A5E" w:rsidRDefault="007E2A5E" w:rsidP="007E2A5E">
      <w:pPr>
        <w:pStyle w:val="TextoNormal"/>
        <w:rPr>
          <w:lang w:val="es-ES"/>
        </w:rPr>
      </w:pPr>
      <w:r w:rsidRPr="007E2A5E">
        <w:rPr>
          <w:lang w:val="es-ES"/>
        </w:rPr>
        <w:t>Estas ideas se reflejan también en el análisis comparativo entre futuros profesores de Geografía e Historia y Biología y Geología, llevado a</w:t>
      </w:r>
      <w:r w:rsidR="00D6583C">
        <w:rPr>
          <w:lang w:val="es-ES"/>
        </w:rPr>
        <w:t xml:space="preserve"> </w:t>
      </w:r>
      <w:r w:rsidRPr="007E2A5E">
        <w:rPr>
          <w:lang w:val="es-ES"/>
        </w:rPr>
        <w:t>cabo por Peinado</w:t>
      </w:r>
      <w:r w:rsidR="00D6583C">
        <w:rPr>
          <w:lang w:val="es-ES"/>
        </w:rPr>
        <w:t xml:space="preserve"> y Abril</w:t>
      </w:r>
      <w:r w:rsidRPr="007E2A5E">
        <w:rPr>
          <w:lang w:val="es-ES"/>
        </w:rPr>
        <w:t xml:space="preserve"> (2016) donde, además, se pone de manifiesto que las clases transmisivas son mucho más habituales en la enseñanza de las Ciencias Sociales que en la enseñanza de la Biología y Geología, cuyos profesores se muestran mucho más innovadores. Los alumnos, una vez más, indican que lo más valioso del </w:t>
      </w:r>
      <w:r w:rsidR="00D6583C">
        <w:rPr>
          <w:lang w:val="es-ES"/>
        </w:rPr>
        <w:t>M</w:t>
      </w:r>
      <w:r w:rsidRPr="007E2A5E">
        <w:rPr>
          <w:lang w:val="es-ES"/>
        </w:rPr>
        <w:t>áster son las prácticas, en detriment</w:t>
      </w:r>
      <w:r w:rsidR="00F1500C">
        <w:rPr>
          <w:lang w:val="es-ES"/>
        </w:rPr>
        <w:t xml:space="preserve">o de la formación más teórica, </w:t>
      </w:r>
      <w:r w:rsidRPr="007E2A5E">
        <w:rPr>
          <w:lang w:val="es-ES"/>
        </w:rPr>
        <w:t xml:space="preserve">y proponen una mayor duración de las mismas. </w:t>
      </w:r>
      <w:r w:rsidR="00D6583C">
        <w:rPr>
          <w:lang w:val="es-ES"/>
        </w:rPr>
        <w:t>Esta percepción se corrobora en e</w:t>
      </w:r>
      <w:r w:rsidRPr="007E2A5E">
        <w:rPr>
          <w:lang w:val="es-ES"/>
        </w:rPr>
        <w:t>studios posteriores</w:t>
      </w:r>
      <w:r w:rsidR="00D6583C">
        <w:rPr>
          <w:lang w:val="es-ES"/>
        </w:rPr>
        <w:t>,</w:t>
      </w:r>
      <w:r w:rsidRPr="007E2A5E">
        <w:rPr>
          <w:lang w:val="es-ES"/>
        </w:rPr>
        <w:t xml:space="preserve"> como el llevado a cabo por Rivero y Souto</w:t>
      </w:r>
      <w:r w:rsidR="00D6583C">
        <w:rPr>
          <w:lang w:val="es-ES"/>
        </w:rPr>
        <w:t>,</w:t>
      </w:r>
      <w:r w:rsidRPr="007E2A5E">
        <w:rPr>
          <w:lang w:val="es-ES"/>
        </w:rPr>
        <w:t xml:space="preserve"> </w:t>
      </w:r>
      <w:r w:rsidR="00D6583C">
        <w:rPr>
          <w:lang w:val="es-ES"/>
        </w:rPr>
        <w:t>pues las prácticas externas</w:t>
      </w:r>
      <w:r w:rsidRPr="007E2A5E">
        <w:rPr>
          <w:lang w:val="es-ES"/>
        </w:rPr>
        <w:t xml:space="preserve"> “constituyen uno de los elementos de más alta valoración por parte del alumnado” (</w:t>
      </w:r>
      <w:r w:rsidR="00D6583C">
        <w:rPr>
          <w:lang w:val="es-ES"/>
        </w:rPr>
        <w:t xml:space="preserve">2019, </w:t>
      </w:r>
      <w:r w:rsidRPr="007E2A5E">
        <w:rPr>
          <w:lang w:val="es-ES"/>
        </w:rPr>
        <w:t>p. 49).</w:t>
      </w:r>
    </w:p>
    <w:p w14:paraId="1BD8910C" w14:textId="77777777" w:rsidR="007E2A5E" w:rsidRPr="007E2A5E" w:rsidRDefault="00D6583C" w:rsidP="007E2A5E">
      <w:pPr>
        <w:pStyle w:val="TextoNormal"/>
        <w:rPr>
          <w:lang w:val="es-ES"/>
        </w:rPr>
      </w:pPr>
      <w:r>
        <w:rPr>
          <w:lang w:val="es-ES"/>
        </w:rPr>
        <w:t>En definitiva, y una vez realizada la revisión, que</w:t>
      </w:r>
      <w:r w:rsidR="00443419">
        <w:rPr>
          <w:lang w:val="es-ES"/>
        </w:rPr>
        <w:t>da</w:t>
      </w:r>
      <w:r>
        <w:rPr>
          <w:lang w:val="es-ES"/>
        </w:rPr>
        <w:t xml:space="preserve"> patente que t</w:t>
      </w:r>
      <w:r w:rsidR="007E2A5E" w:rsidRPr="007E2A5E">
        <w:rPr>
          <w:lang w:val="es-ES"/>
        </w:rPr>
        <w:t>odos estos</w:t>
      </w:r>
      <w:r>
        <w:rPr>
          <w:lang w:val="es-ES"/>
        </w:rPr>
        <w:t xml:space="preserve"> últimos</w:t>
      </w:r>
      <w:r w:rsidR="007E2A5E" w:rsidRPr="007E2A5E">
        <w:rPr>
          <w:lang w:val="es-ES"/>
        </w:rPr>
        <w:t xml:space="preserve"> estudios tienen como nexo común </w:t>
      </w:r>
      <w:r>
        <w:rPr>
          <w:lang w:val="es-ES"/>
        </w:rPr>
        <w:t>el uso del</w:t>
      </w:r>
      <w:r w:rsidR="007E2A5E" w:rsidRPr="007E2A5E">
        <w:rPr>
          <w:lang w:val="es-ES"/>
        </w:rPr>
        <w:t xml:space="preserve"> Prácticum de la especialidad</w:t>
      </w:r>
      <w:r>
        <w:rPr>
          <w:lang w:val="es-ES"/>
        </w:rPr>
        <w:t xml:space="preserve"> de</w:t>
      </w:r>
      <w:r w:rsidR="007E2A5E" w:rsidRPr="007E2A5E">
        <w:rPr>
          <w:lang w:val="es-ES"/>
        </w:rPr>
        <w:t xml:space="preserve"> </w:t>
      </w:r>
      <w:r w:rsidR="007E2A5E" w:rsidRPr="00D6583C">
        <w:rPr>
          <w:i/>
          <w:lang w:val="es-ES"/>
        </w:rPr>
        <w:t>Geografía e Historia</w:t>
      </w:r>
      <w:r w:rsidR="007E2A5E" w:rsidRPr="007E2A5E">
        <w:rPr>
          <w:lang w:val="es-ES"/>
        </w:rPr>
        <w:t xml:space="preserve"> como objeto de investigación, pero sin un enfoque explícito que tome las competencias docen</w:t>
      </w:r>
      <w:r>
        <w:rPr>
          <w:lang w:val="es-ES"/>
        </w:rPr>
        <w:t xml:space="preserve">tes como categorías de análisis. Esto ha sido algo </w:t>
      </w:r>
      <w:r w:rsidR="00443419">
        <w:rPr>
          <w:lang w:val="es-ES"/>
        </w:rPr>
        <w:t>que ha estado</w:t>
      </w:r>
      <w:r>
        <w:rPr>
          <w:lang w:val="es-ES"/>
        </w:rPr>
        <w:t xml:space="preserve"> presente, como se ha podido observar, en estudios más amplios y no centrados en</w:t>
      </w:r>
      <w:r w:rsidR="00443419">
        <w:rPr>
          <w:lang w:val="es-ES"/>
        </w:rPr>
        <w:t xml:space="preserve"> dicha especialidad, y que este trabajo </w:t>
      </w:r>
      <w:r>
        <w:rPr>
          <w:lang w:val="es-ES"/>
        </w:rPr>
        <w:t xml:space="preserve">asume </w:t>
      </w:r>
      <w:r w:rsidR="00443419">
        <w:rPr>
          <w:lang w:val="es-ES"/>
        </w:rPr>
        <w:t>abordar como</w:t>
      </w:r>
      <w:r>
        <w:rPr>
          <w:lang w:val="es-ES"/>
        </w:rPr>
        <w:t xml:space="preserve"> reto.</w:t>
      </w:r>
    </w:p>
    <w:p w14:paraId="5E413680" w14:textId="77777777" w:rsidR="000543C0" w:rsidRPr="001469D4" w:rsidRDefault="000543C0" w:rsidP="000543C0">
      <w:pPr>
        <w:pStyle w:val="Indicador2"/>
        <w:rPr>
          <w:b/>
        </w:rPr>
      </w:pPr>
    </w:p>
    <w:p w14:paraId="06D4AEBC" w14:textId="77777777" w:rsidR="000543C0" w:rsidRPr="00D64B96" w:rsidRDefault="000543C0" w:rsidP="000543C0">
      <w:pPr>
        <w:pStyle w:val="Titulodelapartado"/>
        <w:rPr>
          <w:lang w:val="es-ES"/>
        </w:rPr>
      </w:pPr>
      <w:r w:rsidRPr="00D64B96">
        <w:rPr>
          <w:lang w:val="es-ES"/>
        </w:rPr>
        <w:t xml:space="preserve"> Objetivos y preguntas de investigación</w:t>
      </w:r>
    </w:p>
    <w:p w14:paraId="28401ACB" w14:textId="77777777" w:rsidR="000543C0" w:rsidRPr="001A003A" w:rsidRDefault="000543C0" w:rsidP="000543C0">
      <w:pPr>
        <w:pStyle w:val="Indicador2"/>
        <w:rPr>
          <w:b/>
          <w:color w:val="auto"/>
        </w:rPr>
      </w:pPr>
    </w:p>
    <w:p w14:paraId="3E50B5F0" w14:textId="77777777" w:rsidR="00D64B96" w:rsidRDefault="007C306A" w:rsidP="0026579B">
      <w:pPr>
        <w:pStyle w:val="Estilo1"/>
        <w:rPr>
          <w:i w:val="0"/>
        </w:rPr>
      </w:pPr>
      <w:r w:rsidRPr="001A003A">
        <w:rPr>
          <w:i w:val="0"/>
        </w:rPr>
        <w:t xml:space="preserve">Por tanto, esta </w:t>
      </w:r>
      <w:r>
        <w:rPr>
          <w:i w:val="0"/>
        </w:rPr>
        <w:t xml:space="preserve">investigación tiene como interés principal </w:t>
      </w:r>
      <w:r w:rsidR="0026579B">
        <w:rPr>
          <w:i w:val="0"/>
        </w:rPr>
        <w:t>el análisis</w:t>
      </w:r>
      <w:r>
        <w:rPr>
          <w:i w:val="0"/>
        </w:rPr>
        <w:t xml:space="preserve"> </w:t>
      </w:r>
      <w:r w:rsidR="0026579B">
        <w:rPr>
          <w:i w:val="0"/>
        </w:rPr>
        <w:t xml:space="preserve">de </w:t>
      </w:r>
      <w:r w:rsidR="001E007B">
        <w:rPr>
          <w:i w:val="0"/>
        </w:rPr>
        <w:t xml:space="preserve">las competencias docentes </w:t>
      </w:r>
      <w:r w:rsidR="0026579B">
        <w:rPr>
          <w:i w:val="0"/>
        </w:rPr>
        <w:t>desde el punto de vista del</w:t>
      </w:r>
      <w:r w:rsidR="00D64B96">
        <w:rPr>
          <w:i w:val="0"/>
        </w:rPr>
        <w:t xml:space="preserve"> profesorado en formación inicial de la especialidad</w:t>
      </w:r>
      <w:r w:rsidR="001A003A">
        <w:rPr>
          <w:i w:val="0"/>
        </w:rPr>
        <w:t xml:space="preserve"> de</w:t>
      </w:r>
      <w:r w:rsidR="00D64B96">
        <w:rPr>
          <w:i w:val="0"/>
        </w:rPr>
        <w:t xml:space="preserve"> </w:t>
      </w:r>
      <w:r w:rsidR="00D64B96">
        <w:t>Geografía e Historia</w:t>
      </w:r>
      <w:r w:rsidR="00D64B96">
        <w:rPr>
          <w:i w:val="0"/>
        </w:rPr>
        <w:t xml:space="preserve"> del Máster en Profesor de Educación Secundaria. Este estudio persigue, en primer lugar, </w:t>
      </w:r>
      <w:r w:rsidR="00B32E99">
        <w:rPr>
          <w:i w:val="0"/>
        </w:rPr>
        <w:t>conocer la autopercepción de los participantes sobre su dominio</w:t>
      </w:r>
      <w:r w:rsidR="0026579B">
        <w:rPr>
          <w:i w:val="0"/>
        </w:rPr>
        <w:t xml:space="preserve"> </w:t>
      </w:r>
      <w:r w:rsidR="000867CC">
        <w:rPr>
          <w:i w:val="0"/>
        </w:rPr>
        <w:t>de</w:t>
      </w:r>
      <w:r w:rsidR="0026579B">
        <w:rPr>
          <w:i w:val="0"/>
        </w:rPr>
        <w:t xml:space="preserve"> diversas</w:t>
      </w:r>
      <w:r w:rsidR="00B32E99">
        <w:rPr>
          <w:i w:val="0"/>
        </w:rPr>
        <w:t xml:space="preserve"> competencias docentes, así como sus inquietudes, de forma previa al periodo de prác</w:t>
      </w:r>
      <w:r w:rsidR="0026579B">
        <w:rPr>
          <w:i w:val="0"/>
        </w:rPr>
        <w:t>ticas en los centros educativos. En segundo lugar</w:t>
      </w:r>
      <w:r w:rsidR="00827680">
        <w:rPr>
          <w:i w:val="0"/>
        </w:rPr>
        <w:t>, se pretende conocer</w:t>
      </w:r>
      <w:r w:rsidR="00E159A8">
        <w:rPr>
          <w:i w:val="0"/>
        </w:rPr>
        <w:t xml:space="preserve">, una vez finalizado el </w:t>
      </w:r>
      <w:r w:rsidR="00667883">
        <w:rPr>
          <w:i w:val="0"/>
        </w:rPr>
        <w:t>Prácticum</w:t>
      </w:r>
      <w:r w:rsidR="00E159A8">
        <w:rPr>
          <w:i w:val="0"/>
        </w:rPr>
        <w:t>,</w:t>
      </w:r>
      <w:r w:rsidR="00827680">
        <w:rPr>
          <w:i w:val="0"/>
        </w:rPr>
        <w:t xml:space="preserve"> el nivel de importancia atribuid</w:t>
      </w:r>
      <w:r w:rsidR="00E159A8">
        <w:rPr>
          <w:i w:val="0"/>
        </w:rPr>
        <w:t>a por los futuros profesores de Secundaria</w:t>
      </w:r>
      <w:r w:rsidR="00827680">
        <w:rPr>
          <w:i w:val="0"/>
        </w:rPr>
        <w:t xml:space="preserve"> a diversas competencias docentes</w:t>
      </w:r>
      <w:r w:rsidR="008B4007">
        <w:rPr>
          <w:i w:val="0"/>
        </w:rPr>
        <w:t>,</w:t>
      </w:r>
      <w:r w:rsidR="00827680">
        <w:rPr>
          <w:i w:val="0"/>
        </w:rPr>
        <w:t xml:space="preserve"> </w:t>
      </w:r>
      <w:r w:rsidR="0026579B">
        <w:rPr>
          <w:i w:val="0"/>
        </w:rPr>
        <w:t>para ponerlo</w:t>
      </w:r>
      <w:r w:rsidR="00827680">
        <w:rPr>
          <w:i w:val="0"/>
        </w:rPr>
        <w:t xml:space="preserve"> en relación con </w:t>
      </w:r>
      <w:r w:rsidR="008B4007">
        <w:rPr>
          <w:i w:val="0"/>
        </w:rPr>
        <w:t xml:space="preserve">la </w:t>
      </w:r>
      <w:r w:rsidR="00E159A8">
        <w:rPr>
          <w:i w:val="0"/>
        </w:rPr>
        <w:t xml:space="preserve">percepción de su nivel de </w:t>
      </w:r>
      <w:r w:rsidR="001A003A">
        <w:rPr>
          <w:i w:val="0"/>
        </w:rPr>
        <w:t>adquisición</w:t>
      </w:r>
      <w:r w:rsidR="0026579B">
        <w:rPr>
          <w:i w:val="0"/>
        </w:rPr>
        <w:t xml:space="preserve">. </w:t>
      </w:r>
      <w:r w:rsidR="00E159A8">
        <w:rPr>
          <w:i w:val="0"/>
        </w:rPr>
        <w:t xml:space="preserve">A partir de estos objetivos, se establecen </w:t>
      </w:r>
      <w:r w:rsidR="0026579B">
        <w:rPr>
          <w:i w:val="0"/>
        </w:rPr>
        <w:t>varias</w:t>
      </w:r>
      <w:r w:rsidR="00E159A8">
        <w:rPr>
          <w:i w:val="0"/>
        </w:rPr>
        <w:t xml:space="preserve"> preguntas de investigación que se presentan a continuación:</w:t>
      </w:r>
    </w:p>
    <w:p w14:paraId="39608A03" w14:textId="77777777" w:rsidR="00353921" w:rsidRDefault="00353921" w:rsidP="000543C0">
      <w:pPr>
        <w:pStyle w:val="Estilo1"/>
        <w:rPr>
          <w:i w:val="0"/>
        </w:rPr>
      </w:pPr>
    </w:p>
    <w:p w14:paraId="479B560D" w14:textId="77777777" w:rsidR="00E159A8" w:rsidRDefault="00E159A8" w:rsidP="000543C0">
      <w:pPr>
        <w:pStyle w:val="Estilo1"/>
        <w:rPr>
          <w:i w:val="0"/>
        </w:rPr>
      </w:pPr>
      <w:r>
        <w:rPr>
          <w:i w:val="0"/>
        </w:rPr>
        <w:t>1)</w:t>
      </w:r>
      <w:r w:rsidR="00353921">
        <w:rPr>
          <w:i w:val="0"/>
        </w:rPr>
        <w:t xml:space="preserve"> ¿</w:t>
      </w:r>
      <w:r w:rsidR="0028356C">
        <w:rPr>
          <w:i w:val="0"/>
        </w:rPr>
        <w:t>C</w:t>
      </w:r>
      <w:r w:rsidR="0026579B">
        <w:rPr>
          <w:i w:val="0"/>
        </w:rPr>
        <w:t>uál</w:t>
      </w:r>
      <w:r w:rsidR="000867CC">
        <w:rPr>
          <w:i w:val="0"/>
        </w:rPr>
        <w:t xml:space="preserve"> es</w:t>
      </w:r>
      <w:r w:rsidR="0026579B">
        <w:rPr>
          <w:i w:val="0"/>
        </w:rPr>
        <w:t xml:space="preserve"> </w:t>
      </w:r>
      <w:r w:rsidR="004261BD">
        <w:rPr>
          <w:i w:val="0"/>
        </w:rPr>
        <w:t>la</w:t>
      </w:r>
      <w:r w:rsidR="00065018">
        <w:rPr>
          <w:i w:val="0"/>
        </w:rPr>
        <w:t xml:space="preserve"> percepción</w:t>
      </w:r>
      <w:r w:rsidR="004261BD">
        <w:rPr>
          <w:i w:val="0"/>
        </w:rPr>
        <w:t xml:space="preserve"> de los futuros profesores de </w:t>
      </w:r>
      <w:r w:rsidR="004261BD" w:rsidRPr="00065018">
        <w:t>Geografía e Historia</w:t>
      </w:r>
      <w:r w:rsidR="004261BD">
        <w:rPr>
          <w:i w:val="0"/>
        </w:rPr>
        <w:t xml:space="preserve"> de Secundaria </w:t>
      </w:r>
      <w:r w:rsidR="00065018">
        <w:rPr>
          <w:i w:val="0"/>
        </w:rPr>
        <w:t>acerca de su grado de dominio de diferentes competencias docentes</w:t>
      </w:r>
      <w:r w:rsidR="000867CC">
        <w:rPr>
          <w:i w:val="0"/>
        </w:rPr>
        <w:t xml:space="preserve"> antes de comenzar el Prácticum</w:t>
      </w:r>
      <w:r w:rsidR="004261BD">
        <w:rPr>
          <w:i w:val="0"/>
        </w:rPr>
        <w:t>? ¿C</w:t>
      </w:r>
      <w:r w:rsidR="0026579B">
        <w:rPr>
          <w:i w:val="0"/>
        </w:rPr>
        <w:t xml:space="preserve">uáles son sus inquietudes antes de </w:t>
      </w:r>
      <w:r w:rsidR="000867CC">
        <w:rPr>
          <w:i w:val="0"/>
        </w:rPr>
        <w:t>iniciar sus</w:t>
      </w:r>
      <w:r w:rsidR="0026579B">
        <w:rPr>
          <w:i w:val="0"/>
        </w:rPr>
        <w:t xml:space="preserve"> prácticas en los centros educativos?</w:t>
      </w:r>
    </w:p>
    <w:p w14:paraId="2D411D12" w14:textId="77777777" w:rsidR="00E159A8" w:rsidRDefault="0026579B" w:rsidP="000543C0">
      <w:pPr>
        <w:pStyle w:val="Estilo1"/>
        <w:rPr>
          <w:i w:val="0"/>
        </w:rPr>
      </w:pPr>
      <w:r>
        <w:rPr>
          <w:i w:val="0"/>
        </w:rPr>
        <w:t>2</w:t>
      </w:r>
      <w:r w:rsidR="00E159A8">
        <w:rPr>
          <w:i w:val="0"/>
        </w:rPr>
        <w:t>)</w:t>
      </w:r>
      <w:r w:rsidR="00353921">
        <w:rPr>
          <w:i w:val="0"/>
        </w:rPr>
        <w:t xml:space="preserve"> </w:t>
      </w:r>
      <w:r w:rsidR="001A7340">
        <w:rPr>
          <w:i w:val="0"/>
        </w:rPr>
        <w:t xml:space="preserve">Tras </w:t>
      </w:r>
      <w:r w:rsidR="006C219F">
        <w:rPr>
          <w:i w:val="0"/>
        </w:rPr>
        <w:t xml:space="preserve">finalizar </w:t>
      </w:r>
      <w:r w:rsidR="001A7340">
        <w:rPr>
          <w:i w:val="0"/>
        </w:rPr>
        <w:t xml:space="preserve">el </w:t>
      </w:r>
      <w:r w:rsidR="00667883">
        <w:rPr>
          <w:i w:val="0"/>
        </w:rPr>
        <w:t>Prácticum</w:t>
      </w:r>
      <w:r w:rsidR="001A7340">
        <w:rPr>
          <w:i w:val="0"/>
        </w:rPr>
        <w:t>, ¿</w:t>
      </w:r>
      <w:r w:rsidR="006C219F">
        <w:rPr>
          <w:i w:val="0"/>
        </w:rPr>
        <w:t>es posible detectar</w:t>
      </w:r>
      <w:r w:rsidR="001A7340">
        <w:rPr>
          <w:i w:val="0"/>
        </w:rPr>
        <w:t xml:space="preserve"> una correspondencia entre</w:t>
      </w:r>
      <w:r w:rsidR="006C219F" w:rsidRPr="006C219F">
        <w:rPr>
          <w:i w:val="0"/>
        </w:rPr>
        <w:t xml:space="preserve"> </w:t>
      </w:r>
      <w:r w:rsidR="006C219F">
        <w:rPr>
          <w:i w:val="0"/>
        </w:rPr>
        <w:t xml:space="preserve">la importancia atribuida a las competencias docentes y </w:t>
      </w:r>
      <w:r w:rsidR="001A7340">
        <w:rPr>
          <w:i w:val="0"/>
        </w:rPr>
        <w:t xml:space="preserve">la percepción </w:t>
      </w:r>
      <w:r w:rsidR="006C219F">
        <w:rPr>
          <w:i w:val="0"/>
        </w:rPr>
        <w:t>de su</w:t>
      </w:r>
      <w:r w:rsidR="001A7340">
        <w:rPr>
          <w:i w:val="0"/>
        </w:rPr>
        <w:t xml:space="preserve"> nivel de adquisición</w:t>
      </w:r>
      <w:r w:rsidR="006C219F">
        <w:rPr>
          <w:i w:val="0"/>
        </w:rPr>
        <w:t>? ¿Qué competencias son más destacadas por los participantes?</w:t>
      </w:r>
    </w:p>
    <w:p w14:paraId="3605080B" w14:textId="77777777" w:rsidR="000543C0" w:rsidRDefault="000543C0" w:rsidP="00375629">
      <w:pPr>
        <w:pStyle w:val="Indicador2"/>
        <w:rPr>
          <w:b/>
        </w:rPr>
      </w:pPr>
    </w:p>
    <w:p w14:paraId="7A1252ED" w14:textId="77777777" w:rsidR="005548CB" w:rsidRDefault="005548CB" w:rsidP="005548CB">
      <w:pPr>
        <w:pStyle w:val="Encabezado1"/>
        <w:spacing w:before="0" w:after="0"/>
      </w:pPr>
      <w:r>
        <w:lastRenderedPageBreak/>
        <w:t>Diseño de la investigación</w:t>
      </w:r>
    </w:p>
    <w:p w14:paraId="2C04527F" w14:textId="77777777" w:rsidR="005548CB" w:rsidRPr="008E14ED" w:rsidRDefault="005548CB" w:rsidP="005548CB">
      <w:pPr>
        <w:pStyle w:val="Indicador2"/>
        <w:rPr>
          <w:b/>
        </w:rPr>
      </w:pPr>
    </w:p>
    <w:p w14:paraId="3CDDAA7A" w14:textId="77777777" w:rsidR="00FE39E5" w:rsidRPr="003D6BBA" w:rsidRDefault="00FE39E5" w:rsidP="003D6BBA">
      <w:pPr>
        <w:pStyle w:val="TextoNormal"/>
      </w:pPr>
      <w:r w:rsidRPr="003D6BBA">
        <w:t>El estudio aquí presentado adopta un carácter cuantitativo, al recopilar y analizar información sobre competencias docentes mediante la aplicación de cuestionarios compuestos por preguntas de respuesta múltiple y con ítems de valoración con escala tipo Likert</w:t>
      </w:r>
      <w:r w:rsidR="00443419">
        <w:t>,</w:t>
      </w:r>
      <w:r w:rsidRPr="003D6BBA">
        <w:t xml:space="preserve"> de forma tanto previa como posterior a las intervenciones del profesorado en formación en el </w:t>
      </w:r>
      <w:r w:rsidR="00667883" w:rsidRPr="003D6BBA">
        <w:t>Prácticum</w:t>
      </w:r>
      <w:r w:rsidRPr="003D6BBA">
        <w:t xml:space="preserve">. La investigación </w:t>
      </w:r>
      <w:r w:rsidR="003D6BBA" w:rsidRPr="003D6BBA">
        <w:t xml:space="preserve">adopta, en esta ocasión, un enfoque de carácter descriptivo, al tratar de conocer las autopercepciones de los participantes, pero también con un alcance parcialmente correlacional (Hernández Sampieri, Fernández Collado y Baptista Lucio, 2014), al poner en relación el grado de interés y el grado de dominio competencial percibido tras el paso por las aulas de Educación Secundaria a lo largo de las prácticas externas del </w:t>
      </w:r>
      <w:r w:rsidR="00601035">
        <w:t>Máster en Profesor de Educación Secundaria</w:t>
      </w:r>
      <w:r w:rsidR="003D6BBA" w:rsidRPr="003D6BBA">
        <w:t>.</w:t>
      </w:r>
    </w:p>
    <w:p w14:paraId="1EE1EA15" w14:textId="77777777" w:rsidR="005548CB" w:rsidRPr="001469D4" w:rsidRDefault="005548CB" w:rsidP="005548CB">
      <w:pPr>
        <w:pStyle w:val="Indicador2"/>
        <w:rPr>
          <w:b/>
        </w:rPr>
      </w:pPr>
    </w:p>
    <w:p w14:paraId="5BDDE059" w14:textId="77777777" w:rsidR="005548CB" w:rsidRPr="007E085A" w:rsidRDefault="005548CB" w:rsidP="005548CB">
      <w:pPr>
        <w:pStyle w:val="Titulodelapartado"/>
        <w:numPr>
          <w:ilvl w:val="0"/>
          <w:numId w:val="0"/>
        </w:numPr>
        <w:rPr>
          <w:lang w:val="es-ES"/>
        </w:rPr>
      </w:pPr>
      <w:r w:rsidRPr="007E085A">
        <w:rPr>
          <w:lang w:val="es-ES"/>
        </w:rPr>
        <w:t xml:space="preserve">2.1. </w:t>
      </w:r>
      <w:r w:rsidR="007C1005" w:rsidRPr="007E085A">
        <w:rPr>
          <w:lang w:val="es-ES"/>
        </w:rPr>
        <w:t>Contexto y participantes</w:t>
      </w:r>
    </w:p>
    <w:p w14:paraId="69F4A36D" w14:textId="77777777" w:rsidR="005548CB" w:rsidRPr="001469D4" w:rsidRDefault="005548CB" w:rsidP="005548CB">
      <w:pPr>
        <w:pStyle w:val="Indicador2"/>
        <w:rPr>
          <w:b/>
        </w:rPr>
      </w:pPr>
    </w:p>
    <w:p w14:paraId="692E786B" w14:textId="77777777" w:rsidR="00FE39E5" w:rsidRPr="00AE5B2D" w:rsidRDefault="00BF1D23" w:rsidP="00FE39E5">
      <w:pPr>
        <w:pStyle w:val="TextoNormal"/>
        <w:rPr>
          <w:color w:val="FF0000"/>
        </w:rPr>
      </w:pPr>
      <w:r>
        <w:t xml:space="preserve">Este trabajo se ha desarrollado con docentes en formación matriculados en la especialidad de </w:t>
      </w:r>
      <w:r>
        <w:rPr>
          <w:i/>
        </w:rPr>
        <w:t>Geografía e Historia</w:t>
      </w:r>
      <w:r>
        <w:t xml:space="preserve"> del </w:t>
      </w:r>
      <w:r w:rsidR="00601035" w:rsidRPr="003D6BBA">
        <w:t>MUPES</w:t>
      </w:r>
      <w:r w:rsidR="00601035">
        <w:t xml:space="preserve"> impartido en </w:t>
      </w:r>
      <w:r>
        <w:t xml:space="preserve">la Universidad de </w:t>
      </w:r>
      <w:r w:rsidRPr="00460FFA">
        <w:t>Valladolid</w:t>
      </w:r>
      <w:r>
        <w:t>. La información ha sido recabada a lo largo de cuatro cursos académicos comprendidos entre el año 2015 y 2019, contando con un total de 100 estudiantes, cifra que corresponde al 83,3 por ciento del alumnado matriculado en esta especialidad.</w:t>
      </w:r>
      <w:r w:rsidR="0068545B">
        <w:t xml:space="preserve"> De ellos, cerca de un 55 por ciento son hombres y aproximadamente el 45 por ciento restante, mujeres. Las edades de los participantes se distribuyen de la siguiente manera: cerca de un 60 por ciento tenían 24 años o menos, mientras que casi una tercera parte se encontraba en una franja de edad de entre 25 y 29 años, y una décima parte alcanzaba o se encontraba por encima de </w:t>
      </w:r>
      <w:r w:rsidR="0068545B" w:rsidRPr="00216D9B">
        <w:t>los 30 años.</w:t>
      </w:r>
      <w:r w:rsidR="00460FFA" w:rsidRPr="00216D9B">
        <w:t xml:space="preserve"> </w:t>
      </w:r>
      <w:r w:rsidR="00FE39E5" w:rsidRPr="00216D9B">
        <w:t>En esta ocasión, el muestreo utilizado es de carácter no probabilístico e intencional (Cohen, Manion y Morri</w:t>
      </w:r>
      <w:r w:rsidR="00601035">
        <w:t>s</w:t>
      </w:r>
      <w:r w:rsidR="00FE39E5" w:rsidRPr="00216D9B">
        <w:t xml:space="preserve">on, 2017) siguiendo como criterio de selección la especialidad cursada de </w:t>
      </w:r>
      <w:r w:rsidR="00FE39E5" w:rsidRPr="00216D9B">
        <w:rPr>
          <w:i/>
        </w:rPr>
        <w:t>Geografía e Historia</w:t>
      </w:r>
      <w:r w:rsidR="00FE39E5" w:rsidRPr="00216D9B">
        <w:t xml:space="preserve">, </w:t>
      </w:r>
      <w:r w:rsidR="00443419">
        <w:t xml:space="preserve">y </w:t>
      </w:r>
      <w:r w:rsidR="00FE39E5" w:rsidRPr="00216D9B">
        <w:t>tratando de abarcar al mayor número de estudiantes matriculados entre los años señalados</w:t>
      </w:r>
      <w:r w:rsidR="00267FD0">
        <w:t xml:space="preserve"> en dicha universidad</w:t>
      </w:r>
      <w:r w:rsidR="00FE39E5" w:rsidRPr="00216D9B">
        <w:t>.</w:t>
      </w:r>
    </w:p>
    <w:p w14:paraId="36CE8952" w14:textId="77777777" w:rsidR="00BF1D23" w:rsidRDefault="00BF1D23" w:rsidP="00216D9B">
      <w:pPr>
        <w:pStyle w:val="TextoNormal"/>
        <w:ind w:firstLine="0"/>
      </w:pPr>
    </w:p>
    <w:p w14:paraId="2C76F092" w14:textId="77777777" w:rsidR="007C1005" w:rsidRPr="00460FFA" w:rsidRDefault="007C1005" w:rsidP="007C1005">
      <w:pPr>
        <w:pStyle w:val="Titulodelapartado"/>
        <w:numPr>
          <w:ilvl w:val="0"/>
          <w:numId w:val="0"/>
        </w:numPr>
        <w:rPr>
          <w:lang w:val="es-ES"/>
        </w:rPr>
      </w:pPr>
      <w:r w:rsidRPr="00460FFA">
        <w:rPr>
          <w:lang w:val="es-ES"/>
        </w:rPr>
        <w:t>2.2. Obtención y procesamiento de la información</w:t>
      </w:r>
    </w:p>
    <w:p w14:paraId="69F7EC73" w14:textId="77777777" w:rsidR="007C1005" w:rsidRPr="001469D4" w:rsidRDefault="007C1005" w:rsidP="007C1005">
      <w:pPr>
        <w:pStyle w:val="Indicador2"/>
        <w:rPr>
          <w:b/>
        </w:rPr>
      </w:pPr>
    </w:p>
    <w:p w14:paraId="6736E8B1" w14:textId="0091F961" w:rsidR="007D5A71" w:rsidRDefault="00040501" w:rsidP="007D5A71">
      <w:pPr>
        <w:pStyle w:val="TextoNormal"/>
      </w:pPr>
      <w:r>
        <w:t xml:space="preserve">La información ha sido obtenida mediante la aplicación de </w:t>
      </w:r>
      <w:r w:rsidR="00BD66FB">
        <w:t xml:space="preserve">dos </w:t>
      </w:r>
      <w:r>
        <w:t xml:space="preserve">cuestionarios en papel que fueron cumplimentados por el alumnado matriculado en la especialidad de </w:t>
      </w:r>
      <w:r>
        <w:rPr>
          <w:i/>
        </w:rPr>
        <w:t>Geografía e Historia</w:t>
      </w:r>
      <w:r w:rsidRPr="00040501">
        <w:t xml:space="preserve"> </w:t>
      </w:r>
      <w:r>
        <w:t xml:space="preserve">del </w:t>
      </w:r>
      <w:r w:rsidR="00267FD0">
        <w:t>MUPES</w:t>
      </w:r>
      <w:r>
        <w:t>.</w:t>
      </w:r>
      <w:r w:rsidR="00BD66FB">
        <w:t xml:space="preserve"> El primero de estos instrumentos, de carácter anónimo, fue </w:t>
      </w:r>
      <w:r w:rsidR="001623B5">
        <w:t xml:space="preserve">realizado </w:t>
      </w:r>
      <w:r w:rsidR="00BD66FB">
        <w:t xml:space="preserve">al inicio del módulo específico con el objetivo de conocer las ideas y </w:t>
      </w:r>
      <w:r w:rsidR="00BD66FB" w:rsidRPr="00601035">
        <w:t xml:space="preserve">percepciones de los participantes antes de que comenzaran a cursar las materias centradas en la especialidad. </w:t>
      </w:r>
      <w:r w:rsidR="00744E8B">
        <w:t>En él</w:t>
      </w:r>
      <w:r w:rsidR="007D5A71" w:rsidRPr="00601035">
        <w:t xml:space="preserve"> se incluyeron</w:t>
      </w:r>
      <w:r w:rsidR="00BD66FB" w:rsidRPr="00601035">
        <w:t xml:space="preserve"> ítems de valoración con escala tipo Likert (con valores comprendidos entre el 1 y </w:t>
      </w:r>
      <w:r w:rsidR="007D5A71" w:rsidRPr="00601035">
        <w:t xml:space="preserve">el 5) para </w:t>
      </w:r>
      <w:r w:rsidR="007D7D1F" w:rsidRPr="00601035">
        <w:t>examinar</w:t>
      </w:r>
      <w:r w:rsidR="007D5A71" w:rsidRPr="00601035">
        <w:t xml:space="preserve"> la autoimagen de los participantes en lo relativo a su dominio</w:t>
      </w:r>
      <w:r w:rsidR="00601035" w:rsidRPr="00601035">
        <w:t xml:space="preserve"> competencial</w:t>
      </w:r>
      <w:r w:rsidR="007D7D1F" w:rsidRPr="00601035">
        <w:t>. Los ítems, que se presentan más adelante</w:t>
      </w:r>
      <w:r w:rsidR="00843866">
        <w:t xml:space="preserve"> (Tabla 1)</w:t>
      </w:r>
      <w:r w:rsidR="007D7D1F" w:rsidRPr="00601035">
        <w:t>, reformulan varias de las competencias establecidas en el plan de estudios del Máster en la Universidad de Valladolid. Por último, se incluyó</w:t>
      </w:r>
      <w:r w:rsidR="007D5A71" w:rsidRPr="00601035">
        <w:t xml:space="preserve"> también una pregunta sobre </w:t>
      </w:r>
      <w:r w:rsidR="007D7D1F" w:rsidRPr="00601035">
        <w:t xml:space="preserve">las </w:t>
      </w:r>
      <w:r w:rsidR="007D5A71" w:rsidRPr="00601035">
        <w:t xml:space="preserve">inquietudes </w:t>
      </w:r>
      <w:r w:rsidR="007D7D1F" w:rsidRPr="00601035">
        <w:t xml:space="preserve">de los participantes </w:t>
      </w:r>
      <w:r w:rsidR="009B52B9" w:rsidRPr="00601035">
        <w:t xml:space="preserve">ante la realización del </w:t>
      </w:r>
      <w:r w:rsidR="00667883" w:rsidRPr="00601035">
        <w:t>Prácticum</w:t>
      </w:r>
      <w:r w:rsidR="009B52B9" w:rsidRPr="00601035">
        <w:t>.</w:t>
      </w:r>
    </w:p>
    <w:p w14:paraId="4089C43D" w14:textId="7876A41F" w:rsidR="00B8120E" w:rsidRDefault="00CC4AC9" w:rsidP="00BD66FB">
      <w:pPr>
        <w:pStyle w:val="TextoNormal"/>
      </w:pPr>
      <w:r>
        <w:t>El segundo instrumento</w:t>
      </w:r>
      <w:r w:rsidR="009B52B9">
        <w:t xml:space="preserve"> fue aplicado, en cambio, tras la conclusión de la fase de prácticas en los centros educativos. El confinamiento derivado de la pandemia del COVID-19 no hizo posible obtener esta información del alumnado </w:t>
      </w:r>
      <w:r w:rsidR="00B8113C">
        <w:t>matriculado</w:t>
      </w:r>
      <w:r w:rsidR="009B52B9">
        <w:t xml:space="preserve"> en esta especialidad en el curso académico 2019-20, lo que ha provocado que el número total de cuestionarios cumplimentados sea inferior</w:t>
      </w:r>
      <w:r w:rsidR="00005BF4">
        <w:t xml:space="preserve"> en este caso</w:t>
      </w:r>
      <w:r w:rsidR="00601035">
        <w:t xml:space="preserve"> específico</w:t>
      </w:r>
      <w:r w:rsidR="009B52B9">
        <w:t>.</w:t>
      </w:r>
      <w:r w:rsidR="00005BF4">
        <w:t xml:space="preserve"> El instrumento</w:t>
      </w:r>
      <w:r>
        <w:t xml:space="preserve">, conformado exclusivamente por ítems </w:t>
      </w:r>
      <w:r w:rsidR="00005BF4">
        <w:t xml:space="preserve">de escala Likert (también con valores entre 1 y 5), </w:t>
      </w:r>
      <w:r w:rsidR="00B8120E">
        <w:t xml:space="preserve">perseguía conocer la importancia otorgada por los participantes a una serie de competencias docentes, así como la valoración de su nivel de adquisición tras las prácticas. </w:t>
      </w:r>
      <w:r w:rsidR="000359B9">
        <w:t>Los</w:t>
      </w:r>
      <w:r w:rsidR="00B8120E">
        <w:t xml:space="preserve"> ítems incluye</w:t>
      </w:r>
      <w:r w:rsidR="000359B9">
        <w:t>n</w:t>
      </w:r>
      <w:r w:rsidR="00B8120E">
        <w:t xml:space="preserve"> competencias del módulo específico y competencias del </w:t>
      </w:r>
      <w:r w:rsidR="00667883">
        <w:t>Prácticum</w:t>
      </w:r>
      <w:r w:rsidR="00B8120E">
        <w:t xml:space="preserve">, </w:t>
      </w:r>
      <w:r w:rsidR="000359B9">
        <w:t xml:space="preserve">siguiendo el listado establecido en la ORDEN ECI/3858/2007 y recogido </w:t>
      </w:r>
      <w:r w:rsidR="00D17799">
        <w:t xml:space="preserve">en el plan de estudios del Máster desarrollado por la Universidad de Valladolid. Este listado ha sido ampliado, por el interés </w:t>
      </w:r>
      <w:r w:rsidR="00D17799">
        <w:lastRenderedPageBreak/>
        <w:t xml:space="preserve">de la investigación, con ítems adicionales referidos a las competencias del </w:t>
      </w:r>
      <w:r w:rsidR="00667883">
        <w:t>Prácticum</w:t>
      </w:r>
      <w:r w:rsidR="00D17799">
        <w:t xml:space="preserve"> incluid</w:t>
      </w:r>
      <w:r w:rsidR="00843866">
        <w:t>as</w:t>
      </w:r>
      <w:r w:rsidR="00D17799">
        <w:t xml:space="preserve"> en planes de estudios de otras universidades españolas.</w:t>
      </w:r>
    </w:p>
    <w:p w14:paraId="003A2E42" w14:textId="77777777" w:rsidR="00BD66FB" w:rsidRPr="007D7D1F" w:rsidRDefault="00601035" w:rsidP="00931875">
      <w:pPr>
        <w:pStyle w:val="TextoNormal"/>
        <w:rPr>
          <w:color w:val="FF0000"/>
        </w:rPr>
      </w:pPr>
      <w:r>
        <w:t>La información obtenida en cada uno de los cuatro cursos académicos fue volcada a una base de datos para llevar un análisis de ca</w:t>
      </w:r>
      <w:r w:rsidR="00931875">
        <w:t>rácter cuantitativo a través de los programas de</w:t>
      </w:r>
      <w:r>
        <w:t xml:space="preserve"> software SPSS y Jamovi (basado </w:t>
      </w:r>
      <w:r w:rsidR="00931875">
        <w:t xml:space="preserve">este último </w:t>
      </w:r>
      <w:r>
        <w:t xml:space="preserve">en el lenguaje R). A </w:t>
      </w:r>
      <w:r w:rsidR="00931875">
        <w:t xml:space="preserve">través de este proceso se ha podido llevar a cabo un análisis estadístico de carácter inferencial mediante el cual no se presentan únicamente datos de carácter descriptivo sobre la autopercepción de los participantes, sino que ha sido posible hacer uso de pruebas </w:t>
      </w:r>
      <w:r w:rsidR="00931875" w:rsidRPr="00E04F5A">
        <w:t>de rangos con signo de Wilcoxon</w:t>
      </w:r>
      <w:r w:rsidR="00931875">
        <w:t xml:space="preserve"> con el fin de detectar potenciales contrastes entre los niveles percibidos de importancia y de dominio competencial.</w:t>
      </w:r>
    </w:p>
    <w:p w14:paraId="530D4223" w14:textId="77777777" w:rsidR="007C1005" w:rsidRDefault="007C1005" w:rsidP="005548CB">
      <w:pPr>
        <w:pStyle w:val="Indicador2"/>
        <w:rPr>
          <w:b/>
        </w:rPr>
      </w:pPr>
    </w:p>
    <w:p w14:paraId="3EAF2058" w14:textId="77777777" w:rsidR="00380EA1" w:rsidRDefault="00201360" w:rsidP="00380EA1">
      <w:pPr>
        <w:pStyle w:val="Encabezado1"/>
        <w:spacing w:before="0" w:after="0"/>
      </w:pPr>
      <w:r>
        <w:t>Resultados</w:t>
      </w:r>
      <w:r w:rsidR="00B83DFF">
        <w:t xml:space="preserve"> y discusión</w:t>
      </w:r>
    </w:p>
    <w:p w14:paraId="5F7899D9" w14:textId="77777777" w:rsidR="00380EA1" w:rsidRPr="0026579B" w:rsidRDefault="00380EA1" w:rsidP="00375629">
      <w:pPr>
        <w:pStyle w:val="Indicador2"/>
        <w:rPr>
          <w:b/>
          <w:color w:val="auto"/>
        </w:rPr>
      </w:pPr>
    </w:p>
    <w:p w14:paraId="30B2F76B" w14:textId="77777777" w:rsidR="00201360" w:rsidRPr="0026579B" w:rsidRDefault="00201360" w:rsidP="00201360">
      <w:pPr>
        <w:pStyle w:val="Titulodelapartado"/>
        <w:numPr>
          <w:ilvl w:val="0"/>
          <w:numId w:val="0"/>
        </w:numPr>
        <w:rPr>
          <w:lang w:val="es-ES"/>
        </w:rPr>
      </w:pPr>
      <w:r w:rsidRPr="0026579B">
        <w:rPr>
          <w:lang w:val="es-ES"/>
        </w:rPr>
        <w:t>3.</w:t>
      </w:r>
      <w:r w:rsidR="00CE37B5">
        <w:rPr>
          <w:lang w:val="es-ES"/>
        </w:rPr>
        <w:t>1</w:t>
      </w:r>
      <w:r w:rsidRPr="0026579B">
        <w:rPr>
          <w:lang w:val="es-ES"/>
        </w:rPr>
        <w:t xml:space="preserve">. </w:t>
      </w:r>
      <w:r w:rsidR="000867CC">
        <w:rPr>
          <w:lang w:val="es-ES"/>
        </w:rPr>
        <w:t>Percepción del d</w:t>
      </w:r>
      <w:r w:rsidR="00E659FC">
        <w:rPr>
          <w:lang w:val="es-ES"/>
        </w:rPr>
        <w:t>ominio</w:t>
      </w:r>
      <w:r w:rsidR="00A139B3" w:rsidRPr="0026579B">
        <w:rPr>
          <w:lang w:val="es-ES"/>
        </w:rPr>
        <w:t xml:space="preserve"> de competencia</w:t>
      </w:r>
      <w:r w:rsidR="00E659FC">
        <w:rPr>
          <w:lang w:val="es-ES"/>
        </w:rPr>
        <w:t>s</w:t>
      </w:r>
      <w:r w:rsidR="00A139B3" w:rsidRPr="0026579B">
        <w:rPr>
          <w:lang w:val="es-ES"/>
        </w:rPr>
        <w:t xml:space="preserve"> docente</w:t>
      </w:r>
      <w:r w:rsidR="00E659FC">
        <w:rPr>
          <w:lang w:val="es-ES"/>
        </w:rPr>
        <w:t>s</w:t>
      </w:r>
      <w:r w:rsidR="00A139B3" w:rsidRPr="0026579B">
        <w:rPr>
          <w:lang w:val="es-ES"/>
        </w:rPr>
        <w:t xml:space="preserve"> ante el </w:t>
      </w:r>
      <w:r w:rsidR="00667883">
        <w:rPr>
          <w:lang w:val="es-ES"/>
        </w:rPr>
        <w:t>Prácticum</w:t>
      </w:r>
    </w:p>
    <w:p w14:paraId="5CCA98B0" w14:textId="77777777" w:rsidR="00201360" w:rsidRPr="0026579B" w:rsidRDefault="00201360" w:rsidP="00201360">
      <w:pPr>
        <w:pStyle w:val="Indicador2"/>
        <w:rPr>
          <w:b/>
          <w:color w:val="auto"/>
        </w:rPr>
      </w:pPr>
    </w:p>
    <w:p w14:paraId="63508974" w14:textId="77777777" w:rsidR="00C25275" w:rsidRDefault="000867CC" w:rsidP="00201360">
      <w:pPr>
        <w:pStyle w:val="TextoNormal"/>
      </w:pPr>
      <w:r>
        <w:t xml:space="preserve">En primer lugar, </w:t>
      </w:r>
      <w:r w:rsidR="00C25275">
        <w:t>se tomó la decisión de examinar</w:t>
      </w:r>
      <w:r>
        <w:t>,</w:t>
      </w:r>
      <w:r w:rsidR="00C25275">
        <w:t xml:space="preserve"> </w:t>
      </w:r>
      <w:r>
        <w:t xml:space="preserve">antes del Prácticum, </w:t>
      </w:r>
      <w:r w:rsidR="0078368E">
        <w:t>la autopercepción del futuro profesorado</w:t>
      </w:r>
      <w:r w:rsidRPr="000867CC">
        <w:t xml:space="preserve"> </w:t>
      </w:r>
      <w:r>
        <w:t xml:space="preserve">matriculado en la especialidad de </w:t>
      </w:r>
      <w:r>
        <w:rPr>
          <w:i/>
        </w:rPr>
        <w:t>Geografía e Historia</w:t>
      </w:r>
      <w:r w:rsidRPr="00040501">
        <w:t xml:space="preserve"> </w:t>
      </w:r>
      <w:r>
        <w:t xml:space="preserve">del Máster en Profesor de Educación Secundaria </w:t>
      </w:r>
      <w:r w:rsidR="0078368E">
        <w:t>acerca de su</w:t>
      </w:r>
      <w:r w:rsidR="00C25275">
        <w:t xml:space="preserve"> grado de preparación en relaci</w:t>
      </w:r>
      <w:r w:rsidR="0078368E">
        <w:t>ón a diversas competencias</w:t>
      </w:r>
      <w:r w:rsidR="00FA09D0">
        <w:t xml:space="preserve"> docentes</w:t>
      </w:r>
      <w:r w:rsidR="0078368E">
        <w:t xml:space="preserve">. </w:t>
      </w:r>
      <w:r>
        <w:t>Para ello s</w:t>
      </w:r>
      <w:r w:rsidR="0078368E">
        <w:t>e presentó a los participantes una lista con diferentes ítems vin</w:t>
      </w:r>
      <w:r w:rsidR="00FA09D0">
        <w:t xml:space="preserve">culados a </w:t>
      </w:r>
      <w:r w:rsidR="00A11D4D">
        <w:t>distintas</w:t>
      </w:r>
      <w:r w:rsidR="00FA09D0">
        <w:t xml:space="preserve"> categorías, centradas en la planificación y evaluación de la enseñanza, la gestión del aprendizaje, la utilización de estrategias y recursos, el clima de aprendizaje y convivencia, y aspectos ligados a la comunicación.</w:t>
      </w:r>
      <w:r w:rsidR="00B25373">
        <w:t xml:space="preserve"> Estos resultados </w:t>
      </w:r>
      <w:r w:rsidR="00923B4C">
        <w:t>se presentan</w:t>
      </w:r>
      <w:r w:rsidR="00B25373">
        <w:t xml:space="preserve"> de manera sintética en la Tabla 1.</w:t>
      </w:r>
    </w:p>
    <w:p w14:paraId="23B6081A" w14:textId="77777777" w:rsidR="00FA09D0" w:rsidRPr="00FA09D0" w:rsidRDefault="00FA09D0" w:rsidP="00201360">
      <w:pPr>
        <w:pStyle w:val="TextoNormal"/>
        <w:rPr>
          <w:rFonts w:cs="Times New Roman"/>
          <w:sz w:val="22"/>
          <w:szCs w:val="22"/>
        </w:rPr>
      </w:pPr>
    </w:p>
    <w:p w14:paraId="19618292" w14:textId="77777777" w:rsidR="00FA09D0" w:rsidRDefault="00FA09D0" w:rsidP="001B3E82">
      <w:pPr>
        <w:pStyle w:val="phmfigures"/>
        <w:spacing w:before="0"/>
        <w:ind w:firstLine="0"/>
        <w:rPr>
          <w:lang w:eastAsia="es-ES"/>
        </w:rPr>
      </w:pPr>
      <w:r>
        <w:rPr>
          <w:b/>
          <w:smallCaps/>
          <w:sz w:val="22"/>
        </w:rPr>
        <w:t>Tabla</w:t>
      </w:r>
      <w:r w:rsidRPr="000156AB">
        <w:rPr>
          <w:b/>
          <w:smallCaps/>
          <w:sz w:val="22"/>
        </w:rPr>
        <w:t xml:space="preserve"> </w:t>
      </w:r>
      <w:r>
        <w:rPr>
          <w:b/>
          <w:smallCaps/>
          <w:noProof w:val="0"/>
          <w:sz w:val="22"/>
        </w:rPr>
        <w:t>1</w:t>
      </w:r>
      <w:r w:rsidRPr="000156AB">
        <w:rPr>
          <w:b/>
          <w:smallCaps/>
          <w:sz w:val="22"/>
        </w:rPr>
        <w:t>.</w:t>
      </w:r>
      <w:r>
        <w:rPr>
          <w:b/>
          <w:smallCaps/>
          <w:sz w:val="22"/>
        </w:rPr>
        <w:t xml:space="preserve"> </w:t>
      </w:r>
      <w:r w:rsidR="00F929BB">
        <w:rPr>
          <w:sz w:val="22"/>
        </w:rPr>
        <w:t xml:space="preserve">Grado de </w:t>
      </w:r>
      <w:r w:rsidR="00A11D4D">
        <w:rPr>
          <w:sz w:val="22"/>
        </w:rPr>
        <w:t>autopercepción</w:t>
      </w:r>
      <w:r w:rsidR="00F929BB">
        <w:rPr>
          <w:sz w:val="22"/>
        </w:rPr>
        <w:t xml:space="preserve"> </w:t>
      </w:r>
      <w:r w:rsidR="00923DC5">
        <w:rPr>
          <w:sz w:val="22"/>
        </w:rPr>
        <w:t>sobre</w:t>
      </w:r>
      <w:r w:rsidR="00F929BB">
        <w:rPr>
          <w:sz w:val="22"/>
        </w:rPr>
        <w:t xml:space="preserve"> </w:t>
      </w:r>
      <w:r w:rsidR="001B3E82">
        <w:rPr>
          <w:sz w:val="22"/>
        </w:rPr>
        <w:t xml:space="preserve">el dominio de </w:t>
      </w:r>
      <w:r w:rsidR="00F929BB">
        <w:rPr>
          <w:sz w:val="22"/>
        </w:rPr>
        <w:t>diferentes competencias docentes</w:t>
      </w:r>
      <w:r w:rsidR="001B3E82">
        <w:rPr>
          <w:sz w:val="22"/>
        </w:rPr>
        <w:t xml:space="preserve"> antes del </w:t>
      </w:r>
      <w:r w:rsidR="00667883">
        <w:rPr>
          <w:sz w:val="22"/>
        </w:rPr>
        <w:t>Prácticum</w:t>
      </w:r>
    </w:p>
    <w:p w14:paraId="4CDAEC90" w14:textId="77777777" w:rsidR="00FA09D0" w:rsidRPr="00FA09D0" w:rsidRDefault="00FA09D0" w:rsidP="00FA09D0">
      <w:pPr>
        <w:spacing w:line="240" w:lineRule="atLeast"/>
        <w:rPr>
          <w:rFonts w:cs="Times New Roman"/>
          <w:b/>
          <w:sz w:val="22"/>
          <w:szCs w:val="22"/>
          <w:lang w:val="es-ES"/>
        </w:rPr>
      </w:pPr>
    </w:p>
    <w:tbl>
      <w:tblPr>
        <w:tblW w:w="9106" w:type="dxa"/>
        <w:jc w:val="center"/>
        <w:tblBorders>
          <w:top w:val="single" w:sz="6" w:space="0" w:color="auto"/>
          <w:bottom w:val="single" w:sz="4" w:space="0" w:color="auto"/>
          <w:insideH w:val="single" w:sz="6" w:space="0" w:color="auto"/>
        </w:tblBorders>
        <w:tblLayout w:type="fixed"/>
        <w:tblLook w:val="01E0" w:firstRow="1" w:lastRow="1" w:firstColumn="1" w:lastColumn="1" w:noHBand="0" w:noVBand="0"/>
      </w:tblPr>
      <w:tblGrid>
        <w:gridCol w:w="7263"/>
        <w:gridCol w:w="851"/>
        <w:gridCol w:w="992"/>
      </w:tblGrid>
      <w:tr w:rsidR="00FA09D0" w:rsidRPr="00FA09D0" w14:paraId="3C7F5F6E" w14:textId="77777777" w:rsidTr="00B25373">
        <w:trPr>
          <w:cantSplit/>
          <w:jc w:val="center"/>
        </w:trPr>
        <w:tc>
          <w:tcPr>
            <w:tcW w:w="7263" w:type="dxa"/>
            <w:tcBorders>
              <w:top w:val="nil"/>
              <w:bottom w:val="single" w:sz="4" w:space="0" w:color="auto"/>
            </w:tcBorders>
          </w:tcPr>
          <w:p w14:paraId="05B21BC5" w14:textId="77777777" w:rsidR="00FA09D0" w:rsidRPr="00F929BB" w:rsidRDefault="00FA09D0" w:rsidP="00603DA6">
            <w:pPr>
              <w:rPr>
                <w:rFonts w:cs="Times New Roman"/>
                <w:i/>
                <w:sz w:val="22"/>
                <w:szCs w:val="22"/>
                <w:lang w:val="es-ES"/>
              </w:rPr>
            </w:pPr>
          </w:p>
        </w:tc>
        <w:tc>
          <w:tcPr>
            <w:tcW w:w="851" w:type="dxa"/>
            <w:tcBorders>
              <w:top w:val="single" w:sz="4" w:space="0" w:color="auto"/>
              <w:bottom w:val="single" w:sz="4" w:space="0" w:color="auto"/>
            </w:tcBorders>
            <w:vAlign w:val="center"/>
          </w:tcPr>
          <w:p w14:paraId="1CE004AC" w14:textId="77777777" w:rsidR="00FA09D0" w:rsidRPr="00F929BB" w:rsidRDefault="00FA09D0" w:rsidP="00F929BB">
            <w:pPr>
              <w:pStyle w:val="PSITablaD"/>
              <w:tabs>
                <w:tab w:val="left" w:pos="388"/>
                <w:tab w:val="right" w:pos="635"/>
              </w:tabs>
              <w:spacing w:before="40" w:after="40"/>
              <w:rPr>
                <w:i/>
                <w:sz w:val="22"/>
                <w:szCs w:val="22"/>
              </w:rPr>
            </w:pPr>
            <w:r w:rsidRPr="00F929BB">
              <w:rPr>
                <w:i/>
                <w:sz w:val="22"/>
                <w:szCs w:val="22"/>
              </w:rPr>
              <w:t>M</w:t>
            </w:r>
          </w:p>
        </w:tc>
        <w:tc>
          <w:tcPr>
            <w:tcW w:w="992" w:type="dxa"/>
            <w:tcBorders>
              <w:top w:val="single" w:sz="4" w:space="0" w:color="auto"/>
              <w:bottom w:val="single" w:sz="4" w:space="0" w:color="auto"/>
            </w:tcBorders>
            <w:vAlign w:val="center"/>
          </w:tcPr>
          <w:p w14:paraId="5920057D" w14:textId="77777777" w:rsidR="00FA09D0" w:rsidRPr="00F929BB" w:rsidRDefault="00FA09D0" w:rsidP="00F929BB">
            <w:pPr>
              <w:pStyle w:val="PSITablaD"/>
              <w:tabs>
                <w:tab w:val="center" w:pos="33"/>
                <w:tab w:val="right" w:pos="776"/>
              </w:tabs>
              <w:spacing w:before="40" w:after="40"/>
              <w:rPr>
                <w:i/>
                <w:sz w:val="22"/>
                <w:szCs w:val="22"/>
              </w:rPr>
            </w:pPr>
            <w:r w:rsidRPr="00F929BB">
              <w:rPr>
                <w:i/>
                <w:sz w:val="22"/>
                <w:szCs w:val="22"/>
              </w:rPr>
              <w:t>DE</w:t>
            </w:r>
          </w:p>
        </w:tc>
      </w:tr>
      <w:tr w:rsidR="00FA09D0" w:rsidRPr="000D3B30" w14:paraId="348B2C16" w14:textId="77777777" w:rsidTr="00B25373">
        <w:trPr>
          <w:cantSplit/>
          <w:trHeight w:val="849"/>
          <w:jc w:val="center"/>
        </w:trPr>
        <w:tc>
          <w:tcPr>
            <w:tcW w:w="7263" w:type="dxa"/>
            <w:tcBorders>
              <w:top w:val="single" w:sz="4" w:space="0" w:color="auto"/>
              <w:left w:val="nil"/>
              <w:bottom w:val="single" w:sz="4" w:space="0" w:color="auto"/>
            </w:tcBorders>
          </w:tcPr>
          <w:p w14:paraId="7D7CE2B0" w14:textId="77777777" w:rsidR="00FA09D0" w:rsidRPr="00E21828" w:rsidRDefault="00FA09D0" w:rsidP="00603DA6">
            <w:pPr>
              <w:pStyle w:val="PSITablaD"/>
              <w:jc w:val="both"/>
              <w:rPr>
                <w:i/>
                <w:sz w:val="22"/>
                <w:szCs w:val="22"/>
              </w:rPr>
            </w:pPr>
            <w:r w:rsidRPr="00E21828">
              <w:rPr>
                <w:i/>
                <w:sz w:val="22"/>
                <w:szCs w:val="22"/>
              </w:rPr>
              <w:t>Categoría: planificación y evaluación de la enseñanza</w:t>
            </w:r>
          </w:p>
          <w:p w14:paraId="3B117113" w14:textId="77777777" w:rsidR="00FA09D0" w:rsidRPr="00FA09D0" w:rsidRDefault="00FA09D0" w:rsidP="00C3100B">
            <w:pPr>
              <w:pStyle w:val="PSITablaD"/>
              <w:ind w:left="458"/>
              <w:jc w:val="both"/>
              <w:rPr>
                <w:sz w:val="22"/>
                <w:szCs w:val="22"/>
              </w:rPr>
            </w:pPr>
            <w:r w:rsidRPr="00FA09D0">
              <w:rPr>
                <w:sz w:val="22"/>
                <w:szCs w:val="22"/>
              </w:rPr>
              <w:t>Transformar el currículo en programas de enseñanza-aprendizaje</w:t>
            </w:r>
          </w:p>
          <w:p w14:paraId="272BB88D" w14:textId="77777777" w:rsidR="00E21828" w:rsidRPr="00FA09D0" w:rsidRDefault="00E21828" w:rsidP="00C3100B">
            <w:pPr>
              <w:pStyle w:val="PSITablaD"/>
              <w:ind w:left="458"/>
              <w:jc w:val="both"/>
              <w:rPr>
                <w:sz w:val="22"/>
                <w:szCs w:val="22"/>
              </w:rPr>
            </w:pPr>
            <w:r w:rsidRPr="00FA09D0">
              <w:rPr>
                <w:sz w:val="22"/>
                <w:szCs w:val="22"/>
              </w:rPr>
              <w:t>Plantear instrumentos de evaluación variados</w:t>
            </w:r>
          </w:p>
          <w:p w14:paraId="5353BA1C" w14:textId="77777777" w:rsidR="00FA09D0" w:rsidRPr="00FA09D0" w:rsidRDefault="00FA09D0" w:rsidP="00F929BB">
            <w:pPr>
              <w:pStyle w:val="PSITablaD"/>
              <w:ind w:left="720"/>
              <w:jc w:val="both"/>
              <w:rPr>
                <w:sz w:val="22"/>
                <w:szCs w:val="22"/>
              </w:rPr>
            </w:pPr>
          </w:p>
        </w:tc>
        <w:tc>
          <w:tcPr>
            <w:tcW w:w="851" w:type="dxa"/>
            <w:tcBorders>
              <w:top w:val="single" w:sz="4" w:space="0" w:color="auto"/>
              <w:bottom w:val="single" w:sz="4" w:space="0" w:color="auto"/>
            </w:tcBorders>
          </w:tcPr>
          <w:p w14:paraId="4E17A98D" w14:textId="77777777" w:rsidR="00FA09D0" w:rsidRPr="00F929BB" w:rsidRDefault="00FA09D0" w:rsidP="00F929BB">
            <w:pPr>
              <w:pStyle w:val="PSITablaD"/>
              <w:rPr>
                <w:sz w:val="22"/>
                <w:szCs w:val="22"/>
              </w:rPr>
            </w:pPr>
          </w:p>
          <w:p w14:paraId="7CD056D8" w14:textId="77777777" w:rsidR="00FA09D0" w:rsidRPr="00F929BB" w:rsidRDefault="00FA09D0" w:rsidP="00F929BB">
            <w:pPr>
              <w:pStyle w:val="PSITablaD"/>
              <w:rPr>
                <w:sz w:val="22"/>
                <w:szCs w:val="22"/>
              </w:rPr>
            </w:pPr>
            <w:r w:rsidRPr="00F929BB">
              <w:rPr>
                <w:sz w:val="22"/>
                <w:szCs w:val="22"/>
              </w:rPr>
              <w:t>2.38</w:t>
            </w:r>
          </w:p>
          <w:p w14:paraId="5FA08764" w14:textId="77777777" w:rsidR="00FA09D0" w:rsidRPr="00F929BB" w:rsidRDefault="00FA09D0" w:rsidP="00F929BB">
            <w:pPr>
              <w:pStyle w:val="PSITablaD"/>
              <w:rPr>
                <w:sz w:val="22"/>
                <w:szCs w:val="22"/>
              </w:rPr>
            </w:pPr>
            <w:r w:rsidRPr="00F929BB">
              <w:rPr>
                <w:sz w:val="22"/>
                <w:szCs w:val="22"/>
              </w:rPr>
              <w:t>2.77</w:t>
            </w:r>
          </w:p>
          <w:p w14:paraId="2C76E8F6" w14:textId="77777777" w:rsidR="00FA09D0" w:rsidRPr="00F929BB" w:rsidRDefault="00FA09D0" w:rsidP="00F929BB">
            <w:pPr>
              <w:pStyle w:val="PSITablaD"/>
              <w:rPr>
                <w:sz w:val="22"/>
                <w:szCs w:val="22"/>
              </w:rPr>
            </w:pPr>
          </w:p>
        </w:tc>
        <w:tc>
          <w:tcPr>
            <w:tcW w:w="992" w:type="dxa"/>
            <w:tcBorders>
              <w:top w:val="single" w:sz="4" w:space="0" w:color="auto"/>
              <w:bottom w:val="single" w:sz="4" w:space="0" w:color="auto"/>
            </w:tcBorders>
          </w:tcPr>
          <w:p w14:paraId="68D3F2D7" w14:textId="77777777" w:rsidR="00FA09D0" w:rsidRPr="00F929BB" w:rsidRDefault="00FA09D0" w:rsidP="00F929BB">
            <w:pPr>
              <w:pStyle w:val="PSITablaD"/>
              <w:rPr>
                <w:sz w:val="22"/>
                <w:szCs w:val="22"/>
              </w:rPr>
            </w:pPr>
          </w:p>
          <w:p w14:paraId="26181B44" w14:textId="77777777" w:rsidR="00FA09D0" w:rsidRPr="00F929BB" w:rsidRDefault="00FA09D0" w:rsidP="00F929BB">
            <w:pPr>
              <w:pStyle w:val="PSITablaD"/>
              <w:rPr>
                <w:sz w:val="22"/>
                <w:szCs w:val="22"/>
              </w:rPr>
            </w:pPr>
            <w:r w:rsidRPr="00F929BB">
              <w:rPr>
                <w:sz w:val="22"/>
                <w:szCs w:val="22"/>
              </w:rPr>
              <w:t>.87</w:t>
            </w:r>
          </w:p>
          <w:p w14:paraId="05DACE88" w14:textId="77777777" w:rsidR="00E21828" w:rsidRPr="00F929BB" w:rsidRDefault="00E21828" w:rsidP="00F929BB">
            <w:pPr>
              <w:pStyle w:val="PSITablaD"/>
              <w:rPr>
                <w:sz w:val="22"/>
                <w:szCs w:val="22"/>
              </w:rPr>
            </w:pPr>
            <w:r w:rsidRPr="00F929BB">
              <w:rPr>
                <w:sz w:val="22"/>
                <w:szCs w:val="22"/>
              </w:rPr>
              <w:t>.83</w:t>
            </w:r>
          </w:p>
          <w:p w14:paraId="3631EE2E" w14:textId="77777777" w:rsidR="00FA09D0" w:rsidRPr="00F929BB" w:rsidRDefault="00FA09D0" w:rsidP="00F929BB">
            <w:pPr>
              <w:pStyle w:val="PSITablaD"/>
              <w:rPr>
                <w:sz w:val="22"/>
                <w:szCs w:val="22"/>
              </w:rPr>
            </w:pPr>
          </w:p>
        </w:tc>
      </w:tr>
      <w:tr w:rsidR="00F929BB" w:rsidRPr="00FA09D0" w14:paraId="1C5B561D" w14:textId="77777777" w:rsidTr="008F74F7">
        <w:trPr>
          <w:cantSplit/>
          <w:trHeight w:val="974"/>
          <w:jc w:val="center"/>
        </w:trPr>
        <w:tc>
          <w:tcPr>
            <w:tcW w:w="7263" w:type="dxa"/>
            <w:tcBorders>
              <w:top w:val="single" w:sz="4" w:space="0" w:color="auto"/>
              <w:left w:val="nil"/>
              <w:bottom w:val="single" w:sz="4" w:space="0" w:color="auto"/>
            </w:tcBorders>
          </w:tcPr>
          <w:p w14:paraId="5A270582" w14:textId="77777777" w:rsidR="00F929BB" w:rsidRPr="00E21828" w:rsidRDefault="00F929BB" w:rsidP="00F929BB">
            <w:pPr>
              <w:pStyle w:val="PSITablaD"/>
              <w:jc w:val="both"/>
              <w:rPr>
                <w:i/>
                <w:sz w:val="22"/>
                <w:szCs w:val="22"/>
              </w:rPr>
            </w:pPr>
            <w:r w:rsidRPr="00E21828">
              <w:rPr>
                <w:i/>
                <w:sz w:val="22"/>
                <w:szCs w:val="22"/>
              </w:rPr>
              <w:t>Categoría: gestión del aprendizaje</w:t>
            </w:r>
          </w:p>
          <w:p w14:paraId="260B2AF0" w14:textId="77777777" w:rsidR="00F929BB" w:rsidRPr="00FA09D0" w:rsidRDefault="00F929BB" w:rsidP="00C3100B">
            <w:pPr>
              <w:pStyle w:val="PSITablaD"/>
              <w:ind w:left="458"/>
              <w:jc w:val="both"/>
              <w:rPr>
                <w:sz w:val="22"/>
                <w:szCs w:val="22"/>
              </w:rPr>
            </w:pPr>
            <w:r w:rsidRPr="00FA09D0">
              <w:rPr>
                <w:sz w:val="22"/>
                <w:szCs w:val="22"/>
              </w:rPr>
              <w:t>Identificar los problemas de enseñanza-aprendizaje de los alumnos</w:t>
            </w:r>
          </w:p>
          <w:p w14:paraId="157B0372" w14:textId="77777777" w:rsidR="00F929BB" w:rsidRDefault="00F929BB" w:rsidP="00C3100B">
            <w:pPr>
              <w:pStyle w:val="PSITablaD"/>
              <w:ind w:left="458"/>
              <w:jc w:val="both"/>
              <w:rPr>
                <w:sz w:val="22"/>
                <w:szCs w:val="22"/>
              </w:rPr>
            </w:pPr>
            <w:r w:rsidRPr="00FA09D0">
              <w:rPr>
                <w:sz w:val="22"/>
                <w:szCs w:val="22"/>
              </w:rPr>
              <w:t>Plantear soluciones a los problemas de aprendizaje de los alumnos</w:t>
            </w:r>
          </w:p>
          <w:p w14:paraId="2B3FE01E" w14:textId="77777777" w:rsidR="00F929BB" w:rsidRDefault="00F929BB" w:rsidP="00C3100B">
            <w:pPr>
              <w:pStyle w:val="PSITablaD"/>
              <w:ind w:left="458"/>
              <w:jc w:val="both"/>
              <w:rPr>
                <w:sz w:val="22"/>
                <w:szCs w:val="22"/>
              </w:rPr>
            </w:pPr>
            <w:r w:rsidRPr="00FA09D0">
              <w:rPr>
                <w:sz w:val="22"/>
                <w:szCs w:val="22"/>
              </w:rPr>
              <w:t>Ofrecer respuestas a las distintas capacidades y ritmos de aprendizaje</w:t>
            </w:r>
          </w:p>
          <w:p w14:paraId="4C859F1D" w14:textId="77777777" w:rsidR="008F74F7" w:rsidRPr="00B25373" w:rsidRDefault="008F74F7" w:rsidP="00B25373">
            <w:pPr>
              <w:pStyle w:val="PSITablaD"/>
              <w:ind w:left="720"/>
              <w:jc w:val="both"/>
              <w:rPr>
                <w:sz w:val="22"/>
                <w:szCs w:val="22"/>
              </w:rPr>
            </w:pPr>
          </w:p>
        </w:tc>
        <w:tc>
          <w:tcPr>
            <w:tcW w:w="851" w:type="dxa"/>
            <w:tcBorders>
              <w:top w:val="single" w:sz="4" w:space="0" w:color="auto"/>
              <w:bottom w:val="single" w:sz="4" w:space="0" w:color="auto"/>
            </w:tcBorders>
          </w:tcPr>
          <w:p w14:paraId="3D35E890" w14:textId="77777777" w:rsidR="00F929BB" w:rsidRPr="00F929BB" w:rsidRDefault="00F929BB" w:rsidP="00F929BB">
            <w:pPr>
              <w:pStyle w:val="PSITablaD"/>
              <w:rPr>
                <w:sz w:val="22"/>
                <w:szCs w:val="22"/>
              </w:rPr>
            </w:pPr>
          </w:p>
          <w:p w14:paraId="5827ABA9" w14:textId="77777777" w:rsidR="00F929BB" w:rsidRPr="00F929BB" w:rsidRDefault="00F929BB" w:rsidP="00F929BB">
            <w:pPr>
              <w:pStyle w:val="PSITablaD"/>
              <w:rPr>
                <w:sz w:val="22"/>
                <w:szCs w:val="22"/>
              </w:rPr>
            </w:pPr>
            <w:r w:rsidRPr="00F929BB">
              <w:rPr>
                <w:sz w:val="22"/>
                <w:szCs w:val="22"/>
              </w:rPr>
              <w:t>2.70</w:t>
            </w:r>
          </w:p>
          <w:p w14:paraId="04F159F3" w14:textId="77777777" w:rsidR="00F929BB" w:rsidRPr="00F929BB" w:rsidRDefault="00F929BB" w:rsidP="00F929BB">
            <w:pPr>
              <w:pStyle w:val="PSITablaD"/>
              <w:rPr>
                <w:sz w:val="22"/>
                <w:szCs w:val="22"/>
              </w:rPr>
            </w:pPr>
            <w:r w:rsidRPr="00F929BB">
              <w:rPr>
                <w:sz w:val="22"/>
                <w:szCs w:val="22"/>
              </w:rPr>
              <w:t>2.73</w:t>
            </w:r>
          </w:p>
          <w:p w14:paraId="3A1473CE" w14:textId="77777777" w:rsidR="00F929BB" w:rsidRPr="00F929BB" w:rsidRDefault="00F929BB" w:rsidP="00B25373">
            <w:pPr>
              <w:pStyle w:val="PSITablaD"/>
              <w:rPr>
                <w:sz w:val="22"/>
                <w:szCs w:val="22"/>
              </w:rPr>
            </w:pPr>
            <w:r w:rsidRPr="00F929BB">
              <w:rPr>
                <w:sz w:val="22"/>
                <w:szCs w:val="22"/>
              </w:rPr>
              <w:t>2.63</w:t>
            </w:r>
          </w:p>
        </w:tc>
        <w:tc>
          <w:tcPr>
            <w:tcW w:w="992" w:type="dxa"/>
            <w:tcBorders>
              <w:top w:val="single" w:sz="4" w:space="0" w:color="auto"/>
              <w:bottom w:val="single" w:sz="4" w:space="0" w:color="auto"/>
            </w:tcBorders>
          </w:tcPr>
          <w:p w14:paraId="3DAB65FA" w14:textId="77777777" w:rsidR="00F929BB" w:rsidRPr="00F929BB" w:rsidRDefault="00F929BB" w:rsidP="00F929BB">
            <w:pPr>
              <w:pStyle w:val="PSITablaD"/>
              <w:rPr>
                <w:sz w:val="22"/>
                <w:szCs w:val="22"/>
              </w:rPr>
            </w:pPr>
          </w:p>
          <w:p w14:paraId="7373EDE0" w14:textId="77777777" w:rsidR="00F929BB" w:rsidRPr="00F929BB" w:rsidRDefault="00F929BB" w:rsidP="00F929BB">
            <w:pPr>
              <w:pStyle w:val="PSITablaD"/>
              <w:rPr>
                <w:sz w:val="22"/>
                <w:szCs w:val="22"/>
              </w:rPr>
            </w:pPr>
            <w:r w:rsidRPr="00F929BB">
              <w:rPr>
                <w:sz w:val="22"/>
                <w:szCs w:val="22"/>
              </w:rPr>
              <w:t>.79</w:t>
            </w:r>
          </w:p>
          <w:p w14:paraId="4179A435" w14:textId="77777777" w:rsidR="00F929BB" w:rsidRPr="00F929BB" w:rsidRDefault="00F929BB" w:rsidP="00F929BB">
            <w:pPr>
              <w:pStyle w:val="PSITablaD"/>
              <w:rPr>
                <w:sz w:val="22"/>
                <w:szCs w:val="22"/>
              </w:rPr>
            </w:pPr>
            <w:r w:rsidRPr="00F929BB">
              <w:rPr>
                <w:sz w:val="22"/>
                <w:szCs w:val="22"/>
              </w:rPr>
              <w:t>.79</w:t>
            </w:r>
          </w:p>
          <w:p w14:paraId="729D6C94" w14:textId="77777777" w:rsidR="00F929BB" w:rsidRPr="00F929BB" w:rsidRDefault="00F929BB" w:rsidP="00B25373">
            <w:pPr>
              <w:pStyle w:val="PSITablaD"/>
              <w:rPr>
                <w:sz w:val="22"/>
                <w:szCs w:val="22"/>
              </w:rPr>
            </w:pPr>
            <w:r w:rsidRPr="00F929BB">
              <w:rPr>
                <w:sz w:val="22"/>
                <w:szCs w:val="22"/>
              </w:rPr>
              <w:t>.82</w:t>
            </w:r>
          </w:p>
        </w:tc>
      </w:tr>
      <w:tr w:rsidR="00F929BB" w:rsidRPr="000D3B30" w14:paraId="4411CEAF" w14:textId="77777777" w:rsidTr="00B25373">
        <w:trPr>
          <w:cantSplit/>
          <w:trHeight w:val="1633"/>
          <w:jc w:val="center"/>
        </w:trPr>
        <w:tc>
          <w:tcPr>
            <w:tcW w:w="7263" w:type="dxa"/>
            <w:tcBorders>
              <w:top w:val="single" w:sz="4" w:space="0" w:color="auto"/>
              <w:left w:val="nil"/>
              <w:bottom w:val="single" w:sz="4" w:space="0" w:color="auto"/>
            </w:tcBorders>
          </w:tcPr>
          <w:p w14:paraId="7703632F" w14:textId="77777777" w:rsidR="00F929BB" w:rsidRPr="00E21828" w:rsidRDefault="00F929BB" w:rsidP="00F929BB">
            <w:pPr>
              <w:pStyle w:val="PSITablaD"/>
              <w:jc w:val="both"/>
              <w:rPr>
                <w:i/>
                <w:sz w:val="22"/>
                <w:szCs w:val="22"/>
              </w:rPr>
            </w:pPr>
            <w:r w:rsidRPr="00E21828">
              <w:rPr>
                <w:i/>
                <w:sz w:val="22"/>
                <w:szCs w:val="22"/>
              </w:rPr>
              <w:t>Categoría: utilización de estrategias y recursos</w:t>
            </w:r>
          </w:p>
          <w:p w14:paraId="5800FB4F" w14:textId="77777777" w:rsidR="00F929BB" w:rsidRDefault="00F929BB" w:rsidP="00C3100B">
            <w:pPr>
              <w:pStyle w:val="PSITablaD"/>
              <w:ind w:left="458"/>
              <w:jc w:val="both"/>
              <w:rPr>
                <w:sz w:val="22"/>
                <w:szCs w:val="22"/>
              </w:rPr>
            </w:pPr>
            <w:r>
              <w:rPr>
                <w:sz w:val="22"/>
                <w:szCs w:val="22"/>
              </w:rPr>
              <w:t xml:space="preserve">Utilizar recursos variados </w:t>
            </w:r>
            <w:r w:rsidRPr="00FA09D0">
              <w:rPr>
                <w:sz w:val="22"/>
                <w:szCs w:val="22"/>
              </w:rPr>
              <w:t>acordes al contenido</w:t>
            </w:r>
          </w:p>
          <w:p w14:paraId="38B5DBA5" w14:textId="77777777" w:rsidR="00F929BB" w:rsidRPr="00FA09D0" w:rsidRDefault="00F929BB" w:rsidP="00C3100B">
            <w:pPr>
              <w:pStyle w:val="PSITablaD"/>
              <w:ind w:left="458"/>
              <w:jc w:val="both"/>
              <w:rPr>
                <w:sz w:val="22"/>
                <w:szCs w:val="22"/>
              </w:rPr>
            </w:pPr>
            <w:r w:rsidRPr="00FA09D0">
              <w:rPr>
                <w:sz w:val="22"/>
                <w:szCs w:val="22"/>
              </w:rPr>
              <w:t>Utilizar estrategias didácticas variadas acordes al grupo</w:t>
            </w:r>
          </w:p>
          <w:p w14:paraId="33B80988" w14:textId="77777777" w:rsidR="00F929BB" w:rsidRPr="00FA09D0" w:rsidRDefault="00F929BB" w:rsidP="00C3100B">
            <w:pPr>
              <w:pStyle w:val="PSITablaD"/>
              <w:ind w:left="458"/>
              <w:jc w:val="both"/>
              <w:rPr>
                <w:sz w:val="22"/>
                <w:szCs w:val="22"/>
              </w:rPr>
            </w:pPr>
            <w:r w:rsidRPr="00FA09D0">
              <w:rPr>
                <w:sz w:val="22"/>
                <w:szCs w:val="22"/>
              </w:rPr>
              <w:t>Utilizar material didáctico alternativo/complementario al libro de texto</w:t>
            </w:r>
          </w:p>
          <w:p w14:paraId="36526FE9" w14:textId="77777777" w:rsidR="00F929BB" w:rsidRPr="00FA09D0" w:rsidRDefault="00F929BB" w:rsidP="00C3100B">
            <w:pPr>
              <w:pStyle w:val="PSITablaD"/>
              <w:ind w:left="458"/>
              <w:jc w:val="both"/>
              <w:rPr>
                <w:sz w:val="22"/>
                <w:szCs w:val="22"/>
              </w:rPr>
            </w:pPr>
            <w:r w:rsidRPr="00FA09D0">
              <w:rPr>
                <w:sz w:val="22"/>
                <w:szCs w:val="22"/>
              </w:rPr>
              <w:t>Elaborar material didáctico alternativo/complementario al libro</w:t>
            </w:r>
          </w:p>
          <w:p w14:paraId="139C1EC1" w14:textId="77777777" w:rsidR="00F929BB" w:rsidRPr="00FA09D0" w:rsidRDefault="00F929BB" w:rsidP="00C3100B">
            <w:pPr>
              <w:pStyle w:val="PSITablaD"/>
              <w:ind w:left="458"/>
              <w:jc w:val="both"/>
              <w:rPr>
                <w:sz w:val="22"/>
                <w:szCs w:val="22"/>
              </w:rPr>
            </w:pPr>
            <w:r w:rsidRPr="00FA09D0">
              <w:rPr>
                <w:sz w:val="22"/>
                <w:szCs w:val="22"/>
              </w:rPr>
              <w:t>Aplicar propuestas de innovación docente</w:t>
            </w:r>
          </w:p>
          <w:p w14:paraId="6754952C" w14:textId="77777777" w:rsidR="00F929BB" w:rsidRPr="008F74F7" w:rsidRDefault="00F929BB" w:rsidP="00F929BB">
            <w:pPr>
              <w:pStyle w:val="PSITablaD"/>
              <w:ind w:left="720"/>
              <w:jc w:val="both"/>
              <w:rPr>
                <w:sz w:val="22"/>
                <w:szCs w:val="22"/>
              </w:rPr>
            </w:pPr>
          </w:p>
        </w:tc>
        <w:tc>
          <w:tcPr>
            <w:tcW w:w="851" w:type="dxa"/>
            <w:tcBorders>
              <w:top w:val="single" w:sz="4" w:space="0" w:color="auto"/>
              <w:bottom w:val="single" w:sz="4" w:space="0" w:color="auto"/>
            </w:tcBorders>
          </w:tcPr>
          <w:p w14:paraId="32EBA8A1" w14:textId="77777777" w:rsidR="00F929BB" w:rsidRPr="00F929BB" w:rsidRDefault="00F929BB" w:rsidP="00F929BB">
            <w:pPr>
              <w:pStyle w:val="PSITablaD"/>
              <w:rPr>
                <w:sz w:val="22"/>
                <w:szCs w:val="22"/>
              </w:rPr>
            </w:pPr>
          </w:p>
          <w:p w14:paraId="15B0F4B1" w14:textId="77777777" w:rsidR="00F929BB" w:rsidRPr="00F929BB" w:rsidRDefault="00F929BB" w:rsidP="00F929BB">
            <w:pPr>
              <w:pStyle w:val="PSITablaD"/>
              <w:rPr>
                <w:sz w:val="22"/>
                <w:szCs w:val="22"/>
              </w:rPr>
            </w:pPr>
            <w:r w:rsidRPr="00F929BB">
              <w:rPr>
                <w:sz w:val="22"/>
                <w:szCs w:val="22"/>
              </w:rPr>
              <w:t>3.19</w:t>
            </w:r>
          </w:p>
          <w:p w14:paraId="40A7F9BA" w14:textId="77777777" w:rsidR="00F929BB" w:rsidRPr="00F929BB" w:rsidRDefault="00F929BB" w:rsidP="00F929BB">
            <w:pPr>
              <w:pStyle w:val="PSITablaD"/>
              <w:rPr>
                <w:sz w:val="22"/>
                <w:szCs w:val="22"/>
              </w:rPr>
            </w:pPr>
            <w:r w:rsidRPr="00F929BB">
              <w:rPr>
                <w:sz w:val="22"/>
                <w:szCs w:val="22"/>
              </w:rPr>
              <w:t>3.17</w:t>
            </w:r>
          </w:p>
          <w:p w14:paraId="07241CBB" w14:textId="77777777" w:rsidR="00F929BB" w:rsidRPr="00F929BB" w:rsidRDefault="00F929BB" w:rsidP="00F929BB">
            <w:pPr>
              <w:pStyle w:val="PSITablaD"/>
              <w:rPr>
                <w:sz w:val="22"/>
                <w:szCs w:val="22"/>
              </w:rPr>
            </w:pPr>
            <w:r w:rsidRPr="00F929BB">
              <w:rPr>
                <w:sz w:val="22"/>
                <w:szCs w:val="22"/>
              </w:rPr>
              <w:t>2.75</w:t>
            </w:r>
          </w:p>
          <w:p w14:paraId="0F6EE257" w14:textId="77777777" w:rsidR="00F929BB" w:rsidRPr="00F929BB" w:rsidRDefault="00F929BB" w:rsidP="00F929BB">
            <w:pPr>
              <w:pStyle w:val="PSITablaD"/>
              <w:rPr>
                <w:sz w:val="22"/>
                <w:szCs w:val="22"/>
              </w:rPr>
            </w:pPr>
            <w:r w:rsidRPr="00F929BB">
              <w:rPr>
                <w:sz w:val="22"/>
                <w:szCs w:val="22"/>
              </w:rPr>
              <w:t>3.40</w:t>
            </w:r>
          </w:p>
          <w:p w14:paraId="2BEDE41F" w14:textId="77777777" w:rsidR="00F929BB" w:rsidRPr="00F929BB" w:rsidRDefault="00F929BB" w:rsidP="00F929BB">
            <w:pPr>
              <w:pStyle w:val="PSITablaD"/>
              <w:rPr>
                <w:sz w:val="22"/>
                <w:szCs w:val="22"/>
              </w:rPr>
            </w:pPr>
            <w:r w:rsidRPr="00F929BB">
              <w:rPr>
                <w:sz w:val="22"/>
                <w:szCs w:val="22"/>
              </w:rPr>
              <w:t>3.16</w:t>
            </w:r>
          </w:p>
          <w:p w14:paraId="60553BCC" w14:textId="77777777" w:rsidR="00F929BB" w:rsidRPr="00F929BB" w:rsidRDefault="00F929BB" w:rsidP="00F929BB">
            <w:pPr>
              <w:pStyle w:val="PSITablaD"/>
              <w:rPr>
                <w:sz w:val="22"/>
                <w:szCs w:val="22"/>
              </w:rPr>
            </w:pPr>
          </w:p>
        </w:tc>
        <w:tc>
          <w:tcPr>
            <w:tcW w:w="992" w:type="dxa"/>
            <w:tcBorders>
              <w:top w:val="single" w:sz="4" w:space="0" w:color="auto"/>
              <w:bottom w:val="single" w:sz="4" w:space="0" w:color="auto"/>
            </w:tcBorders>
          </w:tcPr>
          <w:p w14:paraId="40E3E656" w14:textId="77777777" w:rsidR="00F929BB" w:rsidRPr="00F929BB" w:rsidRDefault="00F929BB" w:rsidP="00F929BB">
            <w:pPr>
              <w:pStyle w:val="PSITablaD"/>
              <w:rPr>
                <w:sz w:val="22"/>
                <w:szCs w:val="22"/>
              </w:rPr>
            </w:pPr>
          </w:p>
          <w:p w14:paraId="02085A4C" w14:textId="77777777" w:rsidR="00F929BB" w:rsidRPr="00F929BB" w:rsidRDefault="00F929BB" w:rsidP="00F929BB">
            <w:pPr>
              <w:pStyle w:val="PSITablaD"/>
              <w:rPr>
                <w:sz w:val="22"/>
                <w:szCs w:val="22"/>
              </w:rPr>
            </w:pPr>
            <w:r w:rsidRPr="00F929BB">
              <w:rPr>
                <w:sz w:val="22"/>
                <w:szCs w:val="22"/>
              </w:rPr>
              <w:t>.79</w:t>
            </w:r>
          </w:p>
          <w:p w14:paraId="157CBC0D" w14:textId="77777777" w:rsidR="00F929BB" w:rsidRPr="00F929BB" w:rsidRDefault="00F929BB" w:rsidP="00F929BB">
            <w:pPr>
              <w:pStyle w:val="PSITablaD"/>
              <w:rPr>
                <w:sz w:val="22"/>
                <w:szCs w:val="22"/>
              </w:rPr>
            </w:pPr>
            <w:r w:rsidRPr="00F929BB">
              <w:rPr>
                <w:sz w:val="22"/>
                <w:szCs w:val="22"/>
              </w:rPr>
              <w:t>.73</w:t>
            </w:r>
          </w:p>
          <w:p w14:paraId="6D46F92B" w14:textId="77777777" w:rsidR="00F929BB" w:rsidRPr="00F929BB" w:rsidRDefault="00F929BB" w:rsidP="00F929BB">
            <w:pPr>
              <w:pStyle w:val="PSITablaD"/>
              <w:rPr>
                <w:sz w:val="22"/>
                <w:szCs w:val="22"/>
              </w:rPr>
            </w:pPr>
            <w:r w:rsidRPr="00F929BB">
              <w:rPr>
                <w:sz w:val="22"/>
                <w:szCs w:val="22"/>
              </w:rPr>
              <w:t>.85</w:t>
            </w:r>
          </w:p>
          <w:p w14:paraId="56D1CB2C" w14:textId="77777777" w:rsidR="00F929BB" w:rsidRPr="00F929BB" w:rsidRDefault="00F929BB" w:rsidP="00F929BB">
            <w:pPr>
              <w:pStyle w:val="PSITablaD"/>
              <w:rPr>
                <w:sz w:val="22"/>
                <w:szCs w:val="22"/>
              </w:rPr>
            </w:pPr>
            <w:r w:rsidRPr="00F929BB">
              <w:rPr>
                <w:sz w:val="22"/>
                <w:szCs w:val="22"/>
              </w:rPr>
              <w:t>.68</w:t>
            </w:r>
          </w:p>
          <w:p w14:paraId="496C4E32" w14:textId="77777777" w:rsidR="00F929BB" w:rsidRPr="00F929BB" w:rsidRDefault="00F929BB" w:rsidP="00F929BB">
            <w:pPr>
              <w:pStyle w:val="PSITablaD"/>
              <w:rPr>
                <w:sz w:val="22"/>
                <w:szCs w:val="22"/>
              </w:rPr>
            </w:pPr>
            <w:r w:rsidRPr="00F929BB">
              <w:rPr>
                <w:sz w:val="22"/>
                <w:szCs w:val="22"/>
              </w:rPr>
              <w:t>.87</w:t>
            </w:r>
          </w:p>
          <w:p w14:paraId="5B00ADA1" w14:textId="77777777" w:rsidR="00F929BB" w:rsidRPr="00F929BB" w:rsidRDefault="00F929BB" w:rsidP="00F929BB">
            <w:pPr>
              <w:pStyle w:val="PSITablaD"/>
              <w:rPr>
                <w:sz w:val="22"/>
                <w:szCs w:val="22"/>
              </w:rPr>
            </w:pPr>
          </w:p>
        </w:tc>
      </w:tr>
      <w:tr w:rsidR="00F929BB" w:rsidRPr="00FA09D0" w14:paraId="33491499" w14:textId="77777777" w:rsidTr="00B25373">
        <w:trPr>
          <w:cantSplit/>
          <w:trHeight w:val="612"/>
          <w:jc w:val="center"/>
        </w:trPr>
        <w:tc>
          <w:tcPr>
            <w:tcW w:w="7263" w:type="dxa"/>
            <w:tcBorders>
              <w:top w:val="single" w:sz="4" w:space="0" w:color="auto"/>
              <w:left w:val="nil"/>
              <w:bottom w:val="single" w:sz="4" w:space="0" w:color="auto"/>
            </w:tcBorders>
          </w:tcPr>
          <w:p w14:paraId="7A32D734" w14:textId="77777777" w:rsidR="00F929BB" w:rsidRPr="00E21828" w:rsidRDefault="00F929BB" w:rsidP="00F929BB">
            <w:pPr>
              <w:pStyle w:val="PSITablaD"/>
              <w:jc w:val="both"/>
              <w:rPr>
                <w:i/>
                <w:sz w:val="22"/>
                <w:szCs w:val="22"/>
              </w:rPr>
            </w:pPr>
            <w:r w:rsidRPr="00E21828">
              <w:rPr>
                <w:i/>
                <w:sz w:val="22"/>
                <w:szCs w:val="22"/>
              </w:rPr>
              <w:t xml:space="preserve">Categoría: </w:t>
            </w:r>
            <w:r w:rsidR="00B25373">
              <w:rPr>
                <w:i/>
                <w:sz w:val="22"/>
                <w:szCs w:val="22"/>
              </w:rPr>
              <w:t>clima de aprendizaje y convivencia</w:t>
            </w:r>
          </w:p>
          <w:p w14:paraId="0B76D89C" w14:textId="77777777" w:rsidR="00F929BB" w:rsidRDefault="00F929BB" w:rsidP="00C3100B">
            <w:pPr>
              <w:pStyle w:val="PSITablaD"/>
              <w:ind w:left="458"/>
              <w:jc w:val="both"/>
              <w:rPr>
                <w:sz w:val="22"/>
                <w:szCs w:val="22"/>
              </w:rPr>
            </w:pPr>
            <w:r w:rsidRPr="00FA09D0">
              <w:rPr>
                <w:sz w:val="22"/>
                <w:szCs w:val="22"/>
              </w:rPr>
              <w:t>Fomentar la convivencia en el aula</w:t>
            </w:r>
          </w:p>
          <w:p w14:paraId="69608FBE" w14:textId="77777777" w:rsidR="00B25373" w:rsidRPr="00FA09D0" w:rsidRDefault="00B25373" w:rsidP="00C3100B">
            <w:pPr>
              <w:pStyle w:val="PSITablaD"/>
              <w:ind w:left="458"/>
              <w:jc w:val="both"/>
              <w:rPr>
                <w:sz w:val="22"/>
                <w:szCs w:val="22"/>
              </w:rPr>
            </w:pPr>
            <w:r w:rsidRPr="00FA09D0">
              <w:rPr>
                <w:sz w:val="22"/>
                <w:szCs w:val="22"/>
              </w:rPr>
              <w:t>Promover la capacidad de los alumnos para aprender por si mismos</w:t>
            </w:r>
          </w:p>
          <w:p w14:paraId="38775945" w14:textId="77777777" w:rsidR="00B25373" w:rsidRPr="00FA09D0" w:rsidRDefault="00B25373" w:rsidP="00C3100B">
            <w:pPr>
              <w:pStyle w:val="PSITablaD"/>
              <w:ind w:left="458"/>
              <w:jc w:val="both"/>
              <w:rPr>
                <w:sz w:val="22"/>
                <w:szCs w:val="22"/>
              </w:rPr>
            </w:pPr>
            <w:r w:rsidRPr="00FA09D0">
              <w:rPr>
                <w:sz w:val="22"/>
                <w:szCs w:val="22"/>
              </w:rPr>
              <w:t>Promover la capacidad de los alumnos para aprender colaborativamente</w:t>
            </w:r>
          </w:p>
          <w:p w14:paraId="55A87F76" w14:textId="77777777" w:rsidR="00F929BB" w:rsidRPr="008F74F7" w:rsidRDefault="00F929BB" w:rsidP="00F929BB">
            <w:pPr>
              <w:pStyle w:val="PSITablaD"/>
              <w:ind w:left="720"/>
              <w:jc w:val="both"/>
              <w:rPr>
                <w:sz w:val="22"/>
                <w:szCs w:val="22"/>
              </w:rPr>
            </w:pPr>
          </w:p>
        </w:tc>
        <w:tc>
          <w:tcPr>
            <w:tcW w:w="851" w:type="dxa"/>
            <w:tcBorders>
              <w:top w:val="single" w:sz="4" w:space="0" w:color="auto"/>
              <w:bottom w:val="single" w:sz="4" w:space="0" w:color="auto"/>
            </w:tcBorders>
          </w:tcPr>
          <w:p w14:paraId="3C2EB213" w14:textId="77777777" w:rsidR="00F929BB" w:rsidRPr="00F929BB" w:rsidRDefault="00F929BB" w:rsidP="00F929BB">
            <w:pPr>
              <w:pStyle w:val="PSITablaD"/>
              <w:rPr>
                <w:sz w:val="22"/>
                <w:szCs w:val="22"/>
              </w:rPr>
            </w:pPr>
          </w:p>
          <w:p w14:paraId="6672656E" w14:textId="77777777" w:rsidR="00F929BB" w:rsidRPr="00F929BB" w:rsidRDefault="00F929BB" w:rsidP="00F929BB">
            <w:pPr>
              <w:pStyle w:val="PSITablaD"/>
              <w:rPr>
                <w:sz w:val="22"/>
                <w:szCs w:val="22"/>
              </w:rPr>
            </w:pPr>
            <w:r w:rsidRPr="00F929BB">
              <w:rPr>
                <w:sz w:val="22"/>
                <w:szCs w:val="22"/>
              </w:rPr>
              <w:t>2.65</w:t>
            </w:r>
          </w:p>
          <w:p w14:paraId="4DAA27B1" w14:textId="77777777" w:rsidR="00B25373" w:rsidRPr="00F929BB" w:rsidRDefault="00B25373" w:rsidP="00B25373">
            <w:pPr>
              <w:pStyle w:val="PSITablaD"/>
              <w:rPr>
                <w:sz w:val="22"/>
                <w:szCs w:val="22"/>
              </w:rPr>
            </w:pPr>
            <w:r w:rsidRPr="00F929BB">
              <w:rPr>
                <w:sz w:val="22"/>
                <w:szCs w:val="22"/>
              </w:rPr>
              <w:t>2.97</w:t>
            </w:r>
          </w:p>
          <w:p w14:paraId="13C19F60" w14:textId="77777777" w:rsidR="00B25373" w:rsidRPr="00F929BB" w:rsidRDefault="00B25373" w:rsidP="00B25373">
            <w:pPr>
              <w:pStyle w:val="PSITablaD"/>
              <w:rPr>
                <w:sz w:val="22"/>
                <w:szCs w:val="22"/>
              </w:rPr>
            </w:pPr>
            <w:r w:rsidRPr="00F929BB">
              <w:rPr>
                <w:sz w:val="22"/>
                <w:szCs w:val="22"/>
              </w:rPr>
              <w:t>2.89</w:t>
            </w:r>
          </w:p>
          <w:p w14:paraId="060BD2D6" w14:textId="77777777" w:rsidR="00F929BB" w:rsidRPr="00F929BB" w:rsidRDefault="00F929BB" w:rsidP="00F929BB">
            <w:pPr>
              <w:pStyle w:val="PSITablaD"/>
              <w:rPr>
                <w:sz w:val="22"/>
                <w:szCs w:val="22"/>
              </w:rPr>
            </w:pPr>
          </w:p>
        </w:tc>
        <w:tc>
          <w:tcPr>
            <w:tcW w:w="992" w:type="dxa"/>
            <w:tcBorders>
              <w:top w:val="single" w:sz="4" w:space="0" w:color="auto"/>
              <w:bottom w:val="single" w:sz="4" w:space="0" w:color="auto"/>
            </w:tcBorders>
          </w:tcPr>
          <w:p w14:paraId="0EA40E9F" w14:textId="77777777" w:rsidR="00F929BB" w:rsidRPr="00F929BB" w:rsidRDefault="00F929BB" w:rsidP="00F929BB">
            <w:pPr>
              <w:pStyle w:val="PSITablaD"/>
              <w:rPr>
                <w:sz w:val="22"/>
                <w:szCs w:val="22"/>
              </w:rPr>
            </w:pPr>
          </w:p>
          <w:p w14:paraId="46D1AA0D" w14:textId="77777777" w:rsidR="00F929BB" w:rsidRPr="00F929BB" w:rsidRDefault="00F929BB" w:rsidP="00F929BB">
            <w:pPr>
              <w:pStyle w:val="PSITablaD"/>
              <w:rPr>
                <w:sz w:val="22"/>
                <w:szCs w:val="22"/>
              </w:rPr>
            </w:pPr>
            <w:r w:rsidRPr="00F929BB">
              <w:rPr>
                <w:sz w:val="22"/>
                <w:szCs w:val="22"/>
              </w:rPr>
              <w:t>.88</w:t>
            </w:r>
          </w:p>
          <w:p w14:paraId="747588B7" w14:textId="77777777" w:rsidR="00B25373" w:rsidRPr="00F929BB" w:rsidRDefault="00B25373" w:rsidP="00B25373">
            <w:pPr>
              <w:pStyle w:val="PSITablaD"/>
              <w:rPr>
                <w:sz w:val="22"/>
                <w:szCs w:val="22"/>
              </w:rPr>
            </w:pPr>
            <w:r w:rsidRPr="00F929BB">
              <w:rPr>
                <w:sz w:val="22"/>
                <w:szCs w:val="22"/>
              </w:rPr>
              <w:t>.82</w:t>
            </w:r>
          </w:p>
          <w:p w14:paraId="5C0AC612" w14:textId="77777777" w:rsidR="00B25373" w:rsidRPr="00F929BB" w:rsidRDefault="00B25373" w:rsidP="00B25373">
            <w:pPr>
              <w:pStyle w:val="PSITablaD"/>
              <w:rPr>
                <w:sz w:val="22"/>
                <w:szCs w:val="22"/>
              </w:rPr>
            </w:pPr>
            <w:r w:rsidRPr="00F929BB">
              <w:rPr>
                <w:sz w:val="22"/>
                <w:szCs w:val="22"/>
              </w:rPr>
              <w:t>.82</w:t>
            </w:r>
          </w:p>
          <w:p w14:paraId="245D8877" w14:textId="77777777" w:rsidR="00F929BB" w:rsidRPr="00F929BB" w:rsidRDefault="00F929BB" w:rsidP="00F929BB">
            <w:pPr>
              <w:pStyle w:val="PSITablaD"/>
              <w:rPr>
                <w:sz w:val="22"/>
                <w:szCs w:val="22"/>
              </w:rPr>
            </w:pPr>
          </w:p>
        </w:tc>
      </w:tr>
      <w:tr w:rsidR="00F929BB" w:rsidRPr="00FA09D0" w14:paraId="0244A37D" w14:textId="77777777" w:rsidTr="008F74F7">
        <w:trPr>
          <w:cantSplit/>
          <w:trHeight w:val="767"/>
          <w:jc w:val="center"/>
        </w:trPr>
        <w:tc>
          <w:tcPr>
            <w:tcW w:w="7263" w:type="dxa"/>
            <w:tcBorders>
              <w:top w:val="single" w:sz="4" w:space="0" w:color="auto"/>
              <w:left w:val="nil"/>
              <w:bottom w:val="single" w:sz="4" w:space="0" w:color="auto"/>
            </w:tcBorders>
          </w:tcPr>
          <w:p w14:paraId="15A8037B" w14:textId="77777777" w:rsidR="00F929BB" w:rsidRPr="00E21828" w:rsidRDefault="00F929BB" w:rsidP="00F929BB">
            <w:pPr>
              <w:pStyle w:val="PSITablaD"/>
              <w:jc w:val="both"/>
              <w:rPr>
                <w:i/>
                <w:sz w:val="22"/>
                <w:szCs w:val="22"/>
              </w:rPr>
            </w:pPr>
            <w:r w:rsidRPr="00E21828">
              <w:rPr>
                <w:i/>
                <w:sz w:val="22"/>
                <w:szCs w:val="22"/>
              </w:rPr>
              <w:t>Categoría: aspectos ligados a la comunicación</w:t>
            </w:r>
          </w:p>
          <w:p w14:paraId="699A4D9D" w14:textId="77777777" w:rsidR="00F929BB" w:rsidRPr="00FA09D0" w:rsidRDefault="00F929BB" w:rsidP="00C3100B">
            <w:pPr>
              <w:pStyle w:val="PSITablaD"/>
              <w:ind w:left="458"/>
              <w:jc w:val="both"/>
              <w:rPr>
                <w:sz w:val="22"/>
                <w:szCs w:val="22"/>
              </w:rPr>
            </w:pPr>
            <w:r w:rsidRPr="00FA09D0">
              <w:rPr>
                <w:sz w:val="22"/>
                <w:szCs w:val="22"/>
              </w:rPr>
              <w:t>Utilizar un lenguaje adecuado y comprensible para el alumnado</w:t>
            </w:r>
          </w:p>
          <w:p w14:paraId="5FA06842" w14:textId="77777777" w:rsidR="00F929BB" w:rsidRDefault="00F929BB" w:rsidP="00C3100B">
            <w:pPr>
              <w:pStyle w:val="PSITablaD"/>
              <w:ind w:left="458"/>
              <w:jc w:val="both"/>
              <w:rPr>
                <w:sz w:val="22"/>
                <w:szCs w:val="22"/>
              </w:rPr>
            </w:pPr>
            <w:r w:rsidRPr="00FA09D0">
              <w:rPr>
                <w:sz w:val="22"/>
                <w:szCs w:val="22"/>
              </w:rPr>
              <w:t xml:space="preserve">Ser ordenado en </w:t>
            </w:r>
            <w:r w:rsidR="00C3100B" w:rsidRPr="00FA09D0">
              <w:rPr>
                <w:sz w:val="22"/>
                <w:szCs w:val="22"/>
              </w:rPr>
              <w:t>las exposiciones</w:t>
            </w:r>
            <w:r w:rsidRPr="00FA09D0">
              <w:rPr>
                <w:sz w:val="22"/>
                <w:szCs w:val="22"/>
              </w:rPr>
              <w:t xml:space="preserve"> orales</w:t>
            </w:r>
          </w:p>
          <w:p w14:paraId="27CC9F38" w14:textId="77777777" w:rsidR="008F74F7" w:rsidRPr="00E21828" w:rsidRDefault="008F74F7" w:rsidP="00F929BB">
            <w:pPr>
              <w:pStyle w:val="PSITablaD"/>
              <w:ind w:left="720"/>
              <w:jc w:val="both"/>
              <w:rPr>
                <w:i/>
                <w:sz w:val="22"/>
                <w:szCs w:val="22"/>
              </w:rPr>
            </w:pPr>
          </w:p>
        </w:tc>
        <w:tc>
          <w:tcPr>
            <w:tcW w:w="851" w:type="dxa"/>
            <w:tcBorders>
              <w:top w:val="single" w:sz="4" w:space="0" w:color="auto"/>
              <w:bottom w:val="single" w:sz="4" w:space="0" w:color="auto"/>
            </w:tcBorders>
          </w:tcPr>
          <w:p w14:paraId="7004E8C1" w14:textId="77777777" w:rsidR="00F929BB" w:rsidRPr="00F929BB" w:rsidRDefault="00F929BB" w:rsidP="00F929BB">
            <w:pPr>
              <w:pStyle w:val="PSITablaD"/>
              <w:rPr>
                <w:sz w:val="22"/>
                <w:szCs w:val="22"/>
              </w:rPr>
            </w:pPr>
          </w:p>
          <w:p w14:paraId="076223E9" w14:textId="77777777" w:rsidR="00F929BB" w:rsidRPr="00F929BB" w:rsidRDefault="00F929BB" w:rsidP="00F929BB">
            <w:pPr>
              <w:pStyle w:val="PSITablaD"/>
              <w:rPr>
                <w:sz w:val="22"/>
                <w:szCs w:val="22"/>
              </w:rPr>
            </w:pPr>
            <w:r w:rsidRPr="00F929BB">
              <w:rPr>
                <w:sz w:val="22"/>
                <w:szCs w:val="22"/>
              </w:rPr>
              <w:t>3.47</w:t>
            </w:r>
          </w:p>
          <w:p w14:paraId="5B08556B" w14:textId="77777777" w:rsidR="00F929BB" w:rsidRPr="00F929BB" w:rsidRDefault="00F929BB" w:rsidP="00F929BB">
            <w:pPr>
              <w:pStyle w:val="PSITablaD"/>
              <w:rPr>
                <w:sz w:val="22"/>
                <w:szCs w:val="22"/>
              </w:rPr>
            </w:pPr>
            <w:r w:rsidRPr="00F929BB">
              <w:rPr>
                <w:sz w:val="22"/>
                <w:szCs w:val="22"/>
              </w:rPr>
              <w:t>3.37</w:t>
            </w:r>
          </w:p>
        </w:tc>
        <w:tc>
          <w:tcPr>
            <w:tcW w:w="992" w:type="dxa"/>
            <w:tcBorders>
              <w:top w:val="single" w:sz="4" w:space="0" w:color="auto"/>
              <w:bottom w:val="single" w:sz="4" w:space="0" w:color="auto"/>
            </w:tcBorders>
          </w:tcPr>
          <w:p w14:paraId="69C1D76A" w14:textId="77777777" w:rsidR="00F929BB" w:rsidRPr="00F929BB" w:rsidRDefault="00F929BB" w:rsidP="00F929BB">
            <w:pPr>
              <w:pStyle w:val="PSITablaD"/>
              <w:rPr>
                <w:sz w:val="22"/>
                <w:szCs w:val="22"/>
              </w:rPr>
            </w:pPr>
          </w:p>
          <w:p w14:paraId="4C71ECC7" w14:textId="77777777" w:rsidR="00F929BB" w:rsidRPr="00F929BB" w:rsidRDefault="00F929BB" w:rsidP="00F929BB">
            <w:pPr>
              <w:pStyle w:val="PSITablaD"/>
              <w:rPr>
                <w:sz w:val="22"/>
                <w:szCs w:val="22"/>
              </w:rPr>
            </w:pPr>
            <w:r w:rsidRPr="00F929BB">
              <w:rPr>
                <w:sz w:val="22"/>
                <w:szCs w:val="22"/>
              </w:rPr>
              <w:t>.62</w:t>
            </w:r>
          </w:p>
          <w:p w14:paraId="49955E04" w14:textId="77777777" w:rsidR="00F929BB" w:rsidRPr="00F929BB" w:rsidRDefault="00F929BB" w:rsidP="00F929BB">
            <w:pPr>
              <w:pStyle w:val="PSITablaD"/>
              <w:rPr>
                <w:sz w:val="22"/>
                <w:szCs w:val="22"/>
              </w:rPr>
            </w:pPr>
            <w:r w:rsidRPr="00F929BB">
              <w:rPr>
                <w:sz w:val="22"/>
                <w:szCs w:val="22"/>
              </w:rPr>
              <w:t>.68</w:t>
            </w:r>
          </w:p>
        </w:tc>
      </w:tr>
    </w:tbl>
    <w:p w14:paraId="1E409255" w14:textId="77777777" w:rsidR="00F929BB" w:rsidRDefault="00F929BB" w:rsidP="00B25373">
      <w:pPr>
        <w:pStyle w:val="Piedegrficooimagen"/>
        <w:spacing w:before="0" w:after="0"/>
        <w:ind w:left="284" w:right="275"/>
        <w:rPr>
          <w:lang w:val="es-ES_tradnl"/>
        </w:rPr>
      </w:pPr>
      <w:r w:rsidRPr="00B25373">
        <w:rPr>
          <w:i/>
          <w:lang w:val="es-ES_tradnl"/>
        </w:rPr>
        <w:lastRenderedPageBreak/>
        <w:t>Nota</w:t>
      </w:r>
      <w:r w:rsidR="00B25373">
        <w:rPr>
          <w:lang w:val="es-ES_tradnl"/>
        </w:rPr>
        <w:t>.</w:t>
      </w:r>
      <w:r>
        <w:rPr>
          <w:lang w:val="es-ES_tradnl"/>
        </w:rPr>
        <w:t xml:space="preserve"> </w:t>
      </w:r>
      <w:r w:rsidRPr="00F929BB">
        <w:rPr>
          <w:i/>
          <w:lang w:val="es-ES_tradnl"/>
        </w:rPr>
        <w:t>M</w:t>
      </w:r>
      <w:r>
        <w:rPr>
          <w:lang w:val="es-ES_tradnl"/>
        </w:rPr>
        <w:t xml:space="preserve"> = media; </w:t>
      </w:r>
      <w:r w:rsidRPr="00F929BB">
        <w:rPr>
          <w:i/>
          <w:lang w:val="es-ES_tradnl"/>
        </w:rPr>
        <w:t>DE</w:t>
      </w:r>
      <w:r>
        <w:rPr>
          <w:lang w:val="es-ES_tradnl"/>
        </w:rPr>
        <w:t xml:space="preserve"> = desviación estándar. </w:t>
      </w:r>
      <w:r w:rsidR="00B25373">
        <w:rPr>
          <w:lang w:val="es-ES_tradnl"/>
        </w:rPr>
        <w:t>Del total de 100 estudiantes encuestados, tres de ellos dejaron la totalidad de estos ítems sin responder. Escala utilizada: 1: nada capacitado; 5: completamente capacitado.</w:t>
      </w:r>
    </w:p>
    <w:p w14:paraId="2E3A88E5" w14:textId="77777777" w:rsidR="00FA09D0" w:rsidRPr="00F929BB" w:rsidRDefault="00FA09D0" w:rsidP="00201360">
      <w:pPr>
        <w:pStyle w:val="TextoNormal"/>
        <w:rPr>
          <w:rFonts w:cs="Times New Roman"/>
        </w:rPr>
      </w:pPr>
    </w:p>
    <w:p w14:paraId="16A284A6" w14:textId="77777777" w:rsidR="002B5023" w:rsidRDefault="00B25373" w:rsidP="00D90FBA">
      <w:pPr>
        <w:pStyle w:val="TextoNormal"/>
      </w:pPr>
      <w:r>
        <w:t xml:space="preserve">Como puede observarse, de los resultados </w:t>
      </w:r>
      <w:r w:rsidR="00507321">
        <w:t xml:space="preserve">se desprenden </w:t>
      </w:r>
      <w:r w:rsidR="008B7531">
        <w:t>diversos aspectos a destacar</w:t>
      </w:r>
      <w:r w:rsidR="001B3E82">
        <w:t>.</w:t>
      </w:r>
      <w:r w:rsidR="00D90FBA">
        <w:t xml:space="preserve"> </w:t>
      </w:r>
      <w:r w:rsidR="00507321">
        <w:t>Los</w:t>
      </w:r>
      <w:r w:rsidR="00D90FBA">
        <w:t xml:space="preserve"> participantes se consideran menos competentes </w:t>
      </w:r>
      <w:r w:rsidR="00507321">
        <w:t xml:space="preserve">para transformar </w:t>
      </w:r>
      <w:r w:rsidR="00D90FBA" w:rsidRPr="00D90FBA">
        <w:t>el currículo en programas de enseñanza-aprendizaje</w:t>
      </w:r>
      <w:r w:rsidR="00D90FBA">
        <w:t xml:space="preserve"> (</w:t>
      </w:r>
      <w:r w:rsidR="00D90FBA" w:rsidRPr="00D90FBA">
        <w:rPr>
          <w:i/>
        </w:rPr>
        <w:t>M</w:t>
      </w:r>
      <w:r w:rsidR="00D90FBA">
        <w:t xml:space="preserve"> = </w:t>
      </w:r>
      <w:r w:rsidR="00D90FBA" w:rsidRPr="00D90FBA">
        <w:t>2.</w:t>
      </w:r>
      <w:r w:rsidR="00D90FBA">
        <w:t>38)</w:t>
      </w:r>
      <w:r w:rsidR="002B5023">
        <w:t xml:space="preserve">, así como </w:t>
      </w:r>
      <w:r w:rsidR="00507321">
        <w:t xml:space="preserve">para </w:t>
      </w:r>
      <w:r w:rsidR="00D90FBA">
        <w:t>o</w:t>
      </w:r>
      <w:r w:rsidR="00D90FBA" w:rsidRPr="00D90FBA">
        <w:t>frecer respuestas a las distintas capacidades y ritmos de aprendizaje</w:t>
      </w:r>
      <w:r w:rsidR="00D90FBA">
        <w:t xml:space="preserve"> (</w:t>
      </w:r>
      <w:r w:rsidR="00D90FBA" w:rsidRPr="00D90FBA">
        <w:rPr>
          <w:i/>
        </w:rPr>
        <w:t>M</w:t>
      </w:r>
      <w:r w:rsidR="00D90FBA">
        <w:t xml:space="preserve"> = </w:t>
      </w:r>
      <w:r w:rsidR="00D90FBA" w:rsidRPr="00D90FBA">
        <w:t>2.63</w:t>
      </w:r>
      <w:r w:rsidR="00D90FBA">
        <w:t>)</w:t>
      </w:r>
      <w:r w:rsidR="00507321">
        <w:t>. Ambos elementos</w:t>
      </w:r>
      <w:r w:rsidR="002B5023">
        <w:t xml:space="preserve"> responden a los procesos de planificación y gestión del aprendizaje, categorías donde es posible encontrar</w:t>
      </w:r>
      <w:r w:rsidR="00F30B61">
        <w:t xml:space="preserve"> puntuaciones inferiores.</w:t>
      </w:r>
    </w:p>
    <w:p w14:paraId="73C78468" w14:textId="427AFAA9" w:rsidR="002B5023" w:rsidRDefault="00507321" w:rsidP="00D90FBA">
      <w:pPr>
        <w:pStyle w:val="TextoNormal"/>
      </w:pPr>
      <w:r>
        <w:t xml:space="preserve">Por otro lado, aquellas competencias ligadas a la </w:t>
      </w:r>
      <w:r w:rsidRPr="00507321">
        <w:t>utilización de estrategias y recursos</w:t>
      </w:r>
      <w:r w:rsidR="00A210AB">
        <w:t xml:space="preserve"> son más valoradas</w:t>
      </w:r>
      <w:r>
        <w:t xml:space="preserve">, ya </w:t>
      </w:r>
      <w:r w:rsidR="00A210AB">
        <w:t xml:space="preserve">que </w:t>
      </w:r>
      <w:r>
        <w:t>competencias como u</w:t>
      </w:r>
      <w:r w:rsidRPr="00507321">
        <w:t>tilizar recursos variados acordes al contenido</w:t>
      </w:r>
      <w:r>
        <w:t xml:space="preserve"> (</w:t>
      </w:r>
      <w:r w:rsidRPr="00D90FBA">
        <w:rPr>
          <w:i/>
        </w:rPr>
        <w:t>M</w:t>
      </w:r>
      <w:r>
        <w:t xml:space="preserve"> = 3</w:t>
      </w:r>
      <w:r w:rsidRPr="00D90FBA">
        <w:t>.</w:t>
      </w:r>
      <w:r>
        <w:t>19) o e</w:t>
      </w:r>
      <w:r w:rsidRPr="00507321">
        <w:t>laborar material didáctico alternativo/complementario al libro</w:t>
      </w:r>
      <w:r>
        <w:t xml:space="preserve"> (</w:t>
      </w:r>
      <w:r w:rsidRPr="00D90FBA">
        <w:rPr>
          <w:i/>
        </w:rPr>
        <w:t>M</w:t>
      </w:r>
      <w:r>
        <w:t xml:space="preserve"> = 3</w:t>
      </w:r>
      <w:r w:rsidRPr="00D90FBA">
        <w:t>.</w:t>
      </w:r>
      <w:r>
        <w:t xml:space="preserve">40) muestran </w:t>
      </w:r>
      <w:r w:rsidR="00A210AB">
        <w:t>puntuaciones</w:t>
      </w:r>
      <w:r>
        <w:t xml:space="preserve"> más elevadas.</w:t>
      </w:r>
      <w:r w:rsidR="000F5744">
        <w:t xml:space="preserve"> Finalmente, los aspectos ligados al fomento del </w:t>
      </w:r>
      <w:r w:rsidR="000F5744" w:rsidRPr="000F5744">
        <w:t>clima de aprendizaje y convivencia</w:t>
      </w:r>
      <w:r w:rsidR="000F5744">
        <w:t xml:space="preserve"> se valoran </w:t>
      </w:r>
      <w:r w:rsidR="00843866">
        <w:t>de</w:t>
      </w:r>
      <w:r w:rsidR="000F5744">
        <w:t xml:space="preserve"> forma moderada, mientras que los relacionados con la comunicación agrupan dos de las tres puntuaciones más elevadas del conjunto (</w:t>
      </w:r>
      <w:r w:rsidR="000F5744" w:rsidRPr="00D90FBA">
        <w:rPr>
          <w:i/>
        </w:rPr>
        <w:t>M</w:t>
      </w:r>
      <w:r w:rsidR="000F5744">
        <w:t xml:space="preserve"> = 3.47 y </w:t>
      </w:r>
      <w:r w:rsidR="000F5744" w:rsidRPr="00D90FBA">
        <w:rPr>
          <w:i/>
        </w:rPr>
        <w:t>M</w:t>
      </w:r>
      <w:r w:rsidR="000F5744">
        <w:t xml:space="preserve"> = 3.37).</w:t>
      </w:r>
    </w:p>
    <w:p w14:paraId="482F7B26" w14:textId="23FBB458" w:rsidR="002B77C1" w:rsidRDefault="006B04A7" w:rsidP="00B25373">
      <w:pPr>
        <w:pStyle w:val="TextoNormal"/>
        <w:rPr>
          <w:lang w:val="es-ES"/>
        </w:rPr>
      </w:pPr>
      <w:r>
        <w:t xml:space="preserve">Estos </w:t>
      </w:r>
      <w:r w:rsidRPr="006B04A7">
        <w:t xml:space="preserve">resultados están en la línea de los obtenidos por </w:t>
      </w:r>
      <w:r w:rsidR="001E6CAC" w:rsidRPr="006B04A7">
        <w:rPr>
          <w:lang w:val="es-ES"/>
        </w:rPr>
        <w:t>Sarceda-Gorgoso, Santos-González y Rego-Agraso (2020)</w:t>
      </w:r>
      <w:r w:rsidRPr="006B04A7">
        <w:rPr>
          <w:lang w:val="es-ES"/>
        </w:rPr>
        <w:t>, quienes, tras</w:t>
      </w:r>
      <w:r w:rsidR="00B00FAF">
        <w:rPr>
          <w:lang w:val="es-ES"/>
        </w:rPr>
        <w:t xml:space="preserve"> examinar los niveles de autopercepción de los docentes en formación antes del comienzo del Máster, recalcaron que éstos partían de niveles medios o, en ocasiones, moderadamente altos. </w:t>
      </w:r>
      <w:r w:rsidR="00D20A24">
        <w:rPr>
          <w:lang w:val="es-ES"/>
        </w:rPr>
        <w:t>Por ejemplo, en el estudio aquí presentado, los docentes en formación manifiestan más seguridad en las competencias ligadas a la comunicación</w:t>
      </w:r>
      <w:r w:rsidR="00377B68">
        <w:rPr>
          <w:lang w:val="es-ES"/>
        </w:rPr>
        <w:t xml:space="preserve">, aquellas </w:t>
      </w:r>
      <w:r w:rsidR="002B77C1">
        <w:rPr>
          <w:lang w:val="es-ES"/>
        </w:rPr>
        <w:t xml:space="preserve">entendidas como imprescindibles en </w:t>
      </w:r>
      <w:r w:rsidR="00F574E4">
        <w:rPr>
          <w:lang w:val="es-ES"/>
        </w:rPr>
        <w:t xml:space="preserve">la </w:t>
      </w:r>
      <w:r w:rsidR="00377B68">
        <w:rPr>
          <w:lang w:val="es-ES"/>
        </w:rPr>
        <w:t>metodol</w:t>
      </w:r>
      <w:r w:rsidR="00F574E4">
        <w:rPr>
          <w:lang w:val="es-ES"/>
        </w:rPr>
        <w:t>ogía tradicional</w:t>
      </w:r>
      <w:r w:rsidR="00377B68">
        <w:rPr>
          <w:lang w:val="es-ES"/>
        </w:rPr>
        <w:t xml:space="preserve"> de </w:t>
      </w:r>
      <w:r w:rsidR="002B77C1">
        <w:rPr>
          <w:lang w:val="es-ES"/>
        </w:rPr>
        <w:t>un profesor de Ciencias S</w:t>
      </w:r>
      <w:r w:rsidR="008030E2">
        <w:rPr>
          <w:lang w:val="es-ES"/>
        </w:rPr>
        <w:t>ociales</w:t>
      </w:r>
      <w:r w:rsidR="005C7364">
        <w:rPr>
          <w:lang w:val="es-ES"/>
        </w:rPr>
        <w:t xml:space="preserve"> que, probablemente</w:t>
      </w:r>
      <w:r w:rsidR="00550AC7">
        <w:rPr>
          <w:lang w:val="es-ES"/>
        </w:rPr>
        <w:t>, han vivido como discentes (Molina, Ortuño</w:t>
      </w:r>
      <w:r w:rsidR="00FB4994">
        <w:rPr>
          <w:lang w:val="es-ES"/>
        </w:rPr>
        <w:t xml:space="preserve"> y</w:t>
      </w:r>
      <w:r w:rsidR="00550AC7">
        <w:rPr>
          <w:lang w:val="es-ES"/>
        </w:rPr>
        <w:t xml:space="preserve"> Sánchez-Agustí, 20</w:t>
      </w:r>
      <w:r w:rsidR="00F574E4">
        <w:rPr>
          <w:lang w:val="es-ES"/>
        </w:rPr>
        <w:t>21)</w:t>
      </w:r>
      <w:r w:rsidR="002B77C1">
        <w:rPr>
          <w:lang w:val="es-ES"/>
        </w:rPr>
        <w:t xml:space="preserve">. Desde este punto de vista, se interpreta que ellos se </w:t>
      </w:r>
      <w:r w:rsidR="008030E2">
        <w:rPr>
          <w:lang w:val="es-ES"/>
        </w:rPr>
        <w:t>perciben a sí mismos</w:t>
      </w:r>
      <w:r w:rsidR="002B77C1">
        <w:rPr>
          <w:lang w:val="es-ES"/>
        </w:rPr>
        <w:t xml:space="preserve"> como buenos comunicadores </w:t>
      </w:r>
      <w:r w:rsidR="008030E2">
        <w:rPr>
          <w:lang w:val="es-ES"/>
        </w:rPr>
        <w:t>capaces de utilizar</w:t>
      </w:r>
      <w:r w:rsidR="002B77C1">
        <w:rPr>
          <w:lang w:val="es-ES"/>
        </w:rPr>
        <w:t xml:space="preserve"> </w:t>
      </w:r>
      <w:r w:rsidR="00F574E4">
        <w:rPr>
          <w:lang w:val="es-ES"/>
        </w:rPr>
        <w:t xml:space="preserve">e </w:t>
      </w:r>
      <w:r w:rsidR="00550AC7">
        <w:rPr>
          <w:lang w:val="es-ES"/>
        </w:rPr>
        <w:t xml:space="preserve">ilustrar su discurso con </w:t>
      </w:r>
      <w:r w:rsidR="002B77C1">
        <w:rPr>
          <w:lang w:val="es-ES"/>
        </w:rPr>
        <w:t>recursos variados adaptados al contenido a enseñar.</w:t>
      </w:r>
      <w:r w:rsidR="008966F6">
        <w:rPr>
          <w:lang w:val="es-ES"/>
        </w:rPr>
        <w:t xml:space="preserve"> En cambio, se ven menos competentes para atender a los diferentes ritmos de aprendizaje del alumnado</w:t>
      </w:r>
      <w:r w:rsidR="00377B68">
        <w:rPr>
          <w:lang w:val="es-ES"/>
        </w:rPr>
        <w:t>, como exige l</w:t>
      </w:r>
      <w:r w:rsidR="00FF7142">
        <w:rPr>
          <w:lang w:val="es-ES"/>
        </w:rPr>
        <w:t xml:space="preserve">a </w:t>
      </w:r>
      <w:r w:rsidR="00377B68">
        <w:rPr>
          <w:lang w:val="es-ES"/>
        </w:rPr>
        <w:t xml:space="preserve">actual </w:t>
      </w:r>
      <w:r w:rsidR="00FF7142">
        <w:rPr>
          <w:lang w:val="es-ES"/>
        </w:rPr>
        <w:t>educaci</w:t>
      </w:r>
      <w:r w:rsidR="00D6244C">
        <w:rPr>
          <w:lang w:val="es-ES"/>
        </w:rPr>
        <w:t>ón obligatoria marcada por la diversidad del alumnado</w:t>
      </w:r>
      <w:r w:rsidR="00550AC7">
        <w:rPr>
          <w:lang w:val="es-ES"/>
        </w:rPr>
        <w:t>, lo que constituye un serio aviso a tener en cuenta en los programas de formación inicial</w:t>
      </w:r>
      <w:r w:rsidR="00D6244C">
        <w:rPr>
          <w:lang w:val="es-ES"/>
        </w:rPr>
        <w:t>.</w:t>
      </w:r>
      <w:r w:rsidR="008966F6">
        <w:rPr>
          <w:lang w:val="es-ES"/>
        </w:rPr>
        <w:t xml:space="preserve"> </w:t>
      </w:r>
    </w:p>
    <w:p w14:paraId="609433E6" w14:textId="77777777" w:rsidR="00B25373" w:rsidRDefault="00B25373" w:rsidP="00603DA6">
      <w:pPr>
        <w:pStyle w:val="TextoNormal"/>
      </w:pPr>
      <w:r>
        <w:t xml:space="preserve">Finalmente, y teniendo en cuenta su percepción acerca de su dominio competencial, también se preguntó a los participantes acerca de </w:t>
      </w:r>
      <w:r w:rsidR="00923DC5">
        <w:t>su grado de preparación de cara al comienzo de las prácticas en los centros educativos. Al respecto, y haciendo uso de una escala Likert para indicar el grado de acuerdo frente a diferentes sensaciones, los docentes en formación encuestados indicaron que se sentían especialmente motivados (</w:t>
      </w:r>
      <w:r w:rsidR="00923DC5">
        <w:rPr>
          <w:i/>
        </w:rPr>
        <w:t xml:space="preserve">M </w:t>
      </w:r>
      <w:r w:rsidR="00923DC5">
        <w:t xml:space="preserve">= 3.88; </w:t>
      </w:r>
      <w:r w:rsidR="00923DC5" w:rsidRPr="00923DC5">
        <w:rPr>
          <w:i/>
        </w:rPr>
        <w:t>DE</w:t>
      </w:r>
      <w:r w:rsidR="00923DC5">
        <w:t xml:space="preserve"> = 1.01) e ilusionados (</w:t>
      </w:r>
      <w:r w:rsidR="00923DC5">
        <w:rPr>
          <w:i/>
        </w:rPr>
        <w:t xml:space="preserve">M </w:t>
      </w:r>
      <w:r w:rsidR="00923DC5">
        <w:t xml:space="preserve">= 3.84; </w:t>
      </w:r>
      <w:r w:rsidR="00923DC5" w:rsidRPr="00923DC5">
        <w:rPr>
          <w:i/>
        </w:rPr>
        <w:t>DE</w:t>
      </w:r>
      <w:r w:rsidR="00923DC5">
        <w:t xml:space="preserve"> = .94). Por otro lado, de manera menos generalizada, los participantes </w:t>
      </w:r>
      <w:r w:rsidR="00923B4C">
        <w:t>afirmaron</w:t>
      </w:r>
      <w:r w:rsidR="00923DC5">
        <w:t xml:space="preserve"> </w:t>
      </w:r>
      <w:r w:rsidR="0010754E">
        <w:t xml:space="preserve">también </w:t>
      </w:r>
      <w:r w:rsidR="00923DC5">
        <w:t xml:space="preserve">sentirse </w:t>
      </w:r>
      <w:r w:rsidR="00603DA6">
        <w:t xml:space="preserve">algo </w:t>
      </w:r>
      <w:r w:rsidR="00923DC5">
        <w:t>nerviosos (</w:t>
      </w:r>
      <w:r w:rsidR="00923DC5">
        <w:rPr>
          <w:i/>
        </w:rPr>
        <w:t xml:space="preserve">M </w:t>
      </w:r>
      <w:r w:rsidR="00923DC5">
        <w:t xml:space="preserve">= 3.25; </w:t>
      </w:r>
      <w:r w:rsidR="00923DC5" w:rsidRPr="00923DC5">
        <w:rPr>
          <w:i/>
        </w:rPr>
        <w:t>DE</w:t>
      </w:r>
      <w:r w:rsidR="0010754E">
        <w:t xml:space="preserve"> = 1.20)</w:t>
      </w:r>
      <w:r w:rsidR="00603DA6">
        <w:t xml:space="preserve"> e </w:t>
      </w:r>
      <w:r w:rsidR="00923DC5">
        <w:t>inseguros</w:t>
      </w:r>
      <w:r w:rsidR="00603DA6">
        <w:t xml:space="preserve"> (</w:t>
      </w:r>
      <w:r w:rsidR="00603DA6">
        <w:rPr>
          <w:i/>
        </w:rPr>
        <w:t xml:space="preserve">M </w:t>
      </w:r>
      <w:r w:rsidR="00603DA6">
        <w:t xml:space="preserve">= 3.05; </w:t>
      </w:r>
      <w:r w:rsidR="00603DA6" w:rsidRPr="00923DC5">
        <w:rPr>
          <w:i/>
        </w:rPr>
        <w:t>DE</w:t>
      </w:r>
      <w:r w:rsidR="00603DA6">
        <w:t xml:space="preserve"> = 1.10) ante el comienzo del </w:t>
      </w:r>
      <w:r w:rsidR="00667883">
        <w:t>Prácticum</w:t>
      </w:r>
      <w:r w:rsidR="00603DA6">
        <w:t>.</w:t>
      </w:r>
    </w:p>
    <w:p w14:paraId="3097E941" w14:textId="77777777" w:rsidR="004235B4" w:rsidRPr="00923DC5" w:rsidRDefault="00615486" w:rsidP="00603DA6">
      <w:pPr>
        <w:pStyle w:val="TextoNormal"/>
      </w:pPr>
      <w:r>
        <w:t>E</w:t>
      </w:r>
      <w:r w:rsidR="004235B4">
        <w:t>stos datos pueden interpretarse teniendo en cuenta aspectos recalcados en investigaciones y análisis previos, donde queda patente la buena valoración del Prácticum entre el profesorado en formación matriculado en el Máster (</w:t>
      </w:r>
      <w:r w:rsidR="00D42C42">
        <w:rPr>
          <w:lang w:val="es-ES"/>
        </w:rPr>
        <w:t xml:space="preserve">Cano, Orejudo y Cortés, 2012; </w:t>
      </w:r>
      <w:r w:rsidR="004235B4" w:rsidRPr="007E2A5E">
        <w:rPr>
          <w:lang w:val="es-ES"/>
        </w:rPr>
        <w:t>Rivero y Souto</w:t>
      </w:r>
      <w:r w:rsidR="004235B4">
        <w:rPr>
          <w:lang w:val="es-ES"/>
        </w:rPr>
        <w:t xml:space="preserve">, </w:t>
      </w:r>
      <w:r w:rsidR="00D42C42">
        <w:rPr>
          <w:lang w:val="es-ES"/>
        </w:rPr>
        <w:t>2019). De igual forma, la inseguridad y nerviosismo también puede derivarse de las ideas previas y o prejuicios generalmente existentes antes del paso por los centros, según detallan los análisis de experiencias publicadas (Peinado y Abril, 2016), y que suelen ser superados una vez avanzan las semanas en el Prácticum.</w:t>
      </w:r>
      <w:r w:rsidR="004235B4">
        <w:rPr>
          <w:lang w:val="es-ES"/>
        </w:rPr>
        <w:t xml:space="preserve"> </w:t>
      </w:r>
    </w:p>
    <w:p w14:paraId="4EDC2F44" w14:textId="77777777" w:rsidR="00E659FC" w:rsidRDefault="00E659FC" w:rsidP="00201360">
      <w:pPr>
        <w:pStyle w:val="TextoNormal"/>
      </w:pPr>
    </w:p>
    <w:p w14:paraId="700E1692" w14:textId="77777777" w:rsidR="00201360" w:rsidRPr="0026579B" w:rsidRDefault="00201360" w:rsidP="00201360">
      <w:pPr>
        <w:pStyle w:val="Titulodelapartado"/>
        <w:numPr>
          <w:ilvl w:val="0"/>
          <w:numId w:val="0"/>
        </w:numPr>
        <w:rPr>
          <w:lang w:val="es-ES"/>
        </w:rPr>
      </w:pPr>
      <w:r w:rsidRPr="0026579B">
        <w:rPr>
          <w:lang w:val="es-ES"/>
        </w:rPr>
        <w:t>3.</w:t>
      </w:r>
      <w:r w:rsidR="00CE37B5">
        <w:rPr>
          <w:lang w:val="es-ES"/>
        </w:rPr>
        <w:t>2</w:t>
      </w:r>
      <w:r w:rsidRPr="0026579B">
        <w:rPr>
          <w:lang w:val="es-ES"/>
        </w:rPr>
        <w:t xml:space="preserve">. </w:t>
      </w:r>
      <w:r w:rsidR="00A139B3" w:rsidRPr="0026579B">
        <w:rPr>
          <w:lang w:val="es-ES"/>
        </w:rPr>
        <w:t>Capacitación docente tras el periodo de prácticas</w:t>
      </w:r>
      <w:r w:rsidR="00603DA6">
        <w:rPr>
          <w:lang w:val="es-ES"/>
        </w:rPr>
        <w:t xml:space="preserve"> en los centros</w:t>
      </w:r>
    </w:p>
    <w:p w14:paraId="6784DB31" w14:textId="77777777" w:rsidR="00201360" w:rsidRPr="0026579B" w:rsidRDefault="00201360" w:rsidP="00201360">
      <w:pPr>
        <w:pStyle w:val="Indicador2"/>
        <w:rPr>
          <w:b/>
          <w:color w:val="auto"/>
        </w:rPr>
      </w:pPr>
    </w:p>
    <w:p w14:paraId="6ED9E640" w14:textId="77777777" w:rsidR="00B64FE0" w:rsidRDefault="00FC51AA" w:rsidP="00E10F0E">
      <w:pPr>
        <w:pStyle w:val="TextoNormal"/>
      </w:pPr>
      <w:r>
        <w:t>Tras su paso</w:t>
      </w:r>
      <w:r w:rsidR="00E10F0E">
        <w:t xml:space="preserve"> por los centros educativos en el marco del </w:t>
      </w:r>
      <w:r w:rsidR="00667883">
        <w:t>Prácticum</w:t>
      </w:r>
      <w:r w:rsidR="00E10F0E">
        <w:t xml:space="preserve">, se tomó la decisión de </w:t>
      </w:r>
      <w:r w:rsidR="00B64FE0">
        <w:t xml:space="preserve">preguntar a los profesores en formación de nuevo, y tras su experiencia, </w:t>
      </w:r>
      <w:r w:rsidR="00A66A10">
        <w:t xml:space="preserve">acerca de las </w:t>
      </w:r>
      <w:r w:rsidR="00B64FE0">
        <w:t>competencias docentes. En esta ocasió</w:t>
      </w:r>
      <w:r w:rsidR="00A66A10">
        <w:t xml:space="preserve">n, el foco se centró en examinar la autovaloración de los propios participantes sobre su nivel de dominio adquirido en diferentes competencias, también agrupadas atendiendo a categorías. Junto a ello, y con la finalidad de percibir potenciales similitudes o contrastes, se preguntó en paralelo no sólo por el nivel adquirido en dichas competencias docentes, </w:t>
      </w:r>
      <w:r w:rsidR="00A66A10">
        <w:lastRenderedPageBreak/>
        <w:t xml:space="preserve">sino también </w:t>
      </w:r>
      <w:r w:rsidR="00BD497C">
        <w:t>sobre el grado de importancia dado a esas mismas competencias tras las prácticas en los centros educativos.</w:t>
      </w:r>
    </w:p>
    <w:p w14:paraId="38632454" w14:textId="77777777" w:rsidR="00765F8A" w:rsidRDefault="008B1EA8" w:rsidP="00765F8A">
      <w:pPr>
        <w:pStyle w:val="TextoNormal"/>
      </w:pPr>
      <w:r>
        <w:t>Atendiendo al</w:t>
      </w:r>
      <w:r w:rsidR="00923B4C">
        <w:t xml:space="preserve"> primer grupo de</w:t>
      </w:r>
      <w:r>
        <w:t xml:space="preserve"> competencias, centradas en esta ocasión en </w:t>
      </w:r>
      <w:r w:rsidR="009C2C94">
        <w:t>tres categorías (</w:t>
      </w:r>
      <w:r>
        <w:t>planificación y evaluación de la enseñanza</w:t>
      </w:r>
      <w:r w:rsidR="009C2C94">
        <w:t>, gestión del aprendizaje y utilización de estrategias y recursos), es posible percibir ciertos aspectos destacados. Como aparece en la Tabla 2</w:t>
      </w:r>
      <w:r w:rsidR="009C7293">
        <w:t xml:space="preserve">, </w:t>
      </w:r>
      <w:r w:rsidR="004C7FFC">
        <w:t xml:space="preserve">la importancia otorgada a cada una de las categorías se mueve en cifras medias y altas, aunque ítems como </w:t>
      </w:r>
      <w:r w:rsidR="004C7FFC" w:rsidRPr="004C7FFC">
        <w:rPr>
          <w:i/>
          <w:lang w:val="es-ES"/>
        </w:rPr>
        <w:t>Adquirir experiencia en planificación, docencia y evaluación</w:t>
      </w:r>
      <w:r w:rsidR="004C7FFC" w:rsidRPr="004C7FFC">
        <w:rPr>
          <w:lang w:val="es-ES"/>
        </w:rPr>
        <w:t xml:space="preserve">, </w:t>
      </w:r>
      <w:r w:rsidR="004C7FFC" w:rsidRPr="004C7FFC">
        <w:rPr>
          <w:i/>
        </w:rPr>
        <w:t>Analizar los resultados de la evaluación para mejorar</w:t>
      </w:r>
      <w:r w:rsidR="004C7FFC" w:rsidRPr="004C7FFC">
        <w:t xml:space="preserve">, o </w:t>
      </w:r>
      <w:r w:rsidR="004C7FFC" w:rsidRPr="004C7FFC">
        <w:rPr>
          <w:i/>
          <w:lang w:val="es-ES"/>
        </w:rPr>
        <w:t>Planificar el proceso de enseñanza diseñando materiales y tareas</w:t>
      </w:r>
      <w:r w:rsidR="004C7FFC">
        <w:rPr>
          <w:lang w:val="es-ES"/>
        </w:rPr>
        <w:t xml:space="preserve"> son los más valorados </w:t>
      </w:r>
      <w:r w:rsidR="004C7FFC">
        <w:t>(</w:t>
      </w:r>
      <w:r w:rsidR="004C7FFC" w:rsidRPr="00D90FBA">
        <w:rPr>
          <w:i/>
        </w:rPr>
        <w:t>M</w:t>
      </w:r>
      <w:r w:rsidR="004C7FFC">
        <w:t xml:space="preserve"> = 4.63, </w:t>
      </w:r>
      <w:r w:rsidR="004C7FFC" w:rsidRPr="00D90FBA">
        <w:rPr>
          <w:i/>
        </w:rPr>
        <w:t>M</w:t>
      </w:r>
      <w:r w:rsidR="004C7FFC">
        <w:t xml:space="preserve"> = 4.56 y también </w:t>
      </w:r>
      <w:r w:rsidR="004C7FFC" w:rsidRPr="00D90FBA">
        <w:rPr>
          <w:i/>
        </w:rPr>
        <w:t>M</w:t>
      </w:r>
      <w:r w:rsidR="004C7FFC">
        <w:t xml:space="preserve"> = 4.56, respectivamente).</w:t>
      </w:r>
      <w:r w:rsidR="00FD601B">
        <w:t xml:space="preserve"> Estos resultados se encuentran en línea con los datos obtenidos por Serrano y Pontes (2017) en su investigación con estudiantes de la Universidad de Córdoba, donde la competencia centrada en </w:t>
      </w:r>
      <w:r w:rsidR="00FD601B" w:rsidRPr="00FD601B">
        <w:rPr>
          <w:i/>
        </w:rPr>
        <w:t>Adquirir experiencia en planificación, docencia y evaluación</w:t>
      </w:r>
      <w:r w:rsidR="00FD601B">
        <w:t xml:space="preserve"> fue situada también en primer lugar entre los ítems de estas tres categorías que aquí se encuentran en discusión.</w:t>
      </w:r>
      <w:r w:rsidR="00765F8A">
        <w:t xml:space="preserve"> De hecho, estudios similares como el llevado a cabo por </w:t>
      </w:r>
      <w:r w:rsidR="00765F8A">
        <w:rPr>
          <w:lang w:val="es-ES"/>
        </w:rPr>
        <w:t xml:space="preserve">García Rodríguez et al. (2011) reflejan, precisamente, que, de igual modo, la segunda competencia más valorada en el estudio de estos autores (relacionada con la </w:t>
      </w:r>
      <w:r w:rsidR="00765F8A" w:rsidRPr="00765F8A">
        <w:rPr>
          <w:i/>
          <w:lang w:val="es-ES"/>
        </w:rPr>
        <w:t>planificación, desarrollo y evaluación del proceso de enseñanza-aprendizaje</w:t>
      </w:r>
      <w:r w:rsidR="00765F8A">
        <w:rPr>
          <w:lang w:val="es-ES"/>
        </w:rPr>
        <w:t>) es también la segunda más valorada en este estudio desarrollado en la Universidad de Valladolid</w:t>
      </w:r>
      <w:r w:rsidR="00765F8A">
        <w:t>.</w:t>
      </w:r>
    </w:p>
    <w:p w14:paraId="4E7586C0" w14:textId="77777777" w:rsidR="00762B36" w:rsidRDefault="004C7FFC" w:rsidP="00015C2E">
      <w:pPr>
        <w:pStyle w:val="TextoNormal"/>
      </w:pPr>
      <w:r>
        <w:t>Ahora bien, el grado de dominio percibido es siempre inferior al grado de importancia asignado: ocurre en todas las categorías y en todos los ítems</w:t>
      </w:r>
      <w:r w:rsidR="00015C2E">
        <w:t xml:space="preserve">. </w:t>
      </w:r>
      <w:r w:rsidR="00FD601B">
        <w:t>En esta ocasión, t</w:t>
      </w:r>
      <w:r w:rsidR="00762B36">
        <w:t xml:space="preserve">ras realizar una prueba </w:t>
      </w:r>
      <w:r w:rsidR="00762B36" w:rsidRPr="00E04F5A">
        <w:t>de rangos con signo de Wilcoxon</w:t>
      </w:r>
      <w:r w:rsidR="00762B36">
        <w:t xml:space="preserve"> con el fin de valorar la existencia de contrastes entre el nivel percibido de dominio de cada una de las competencias y la importancia dada a cada una de ellas, ha sido posible encontrar diferencias significativas en todos los ítems, salvo e</w:t>
      </w:r>
      <w:r w:rsidR="00FD601B">
        <w:t xml:space="preserve">n el 10, que hace referencia a </w:t>
      </w:r>
      <w:r w:rsidR="00762B36" w:rsidRPr="00FD601B">
        <w:rPr>
          <w:i/>
        </w:rPr>
        <w:t>integrar la formación en comunicación audiovisual y multimedia</w:t>
      </w:r>
      <w:r w:rsidR="00762B36">
        <w:t>. En esta ocasión, la prueba de Wilcoxon no encuentra diferencias estadísticamente significativas en este ítem en particular (</w:t>
      </w:r>
      <w:r w:rsidR="00762B36">
        <w:rPr>
          <w:rStyle w:val="nfasis"/>
        </w:rPr>
        <w:t>Z</w:t>
      </w:r>
      <w:r w:rsidR="00762B36">
        <w:t xml:space="preserve"> = 236, </w:t>
      </w:r>
      <w:r w:rsidR="00762B36">
        <w:rPr>
          <w:rStyle w:val="nfasis"/>
        </w:rPr>
        <w:t>p</w:t>
      </w:r>
      <w:r w:rsidR="00762B36">
        <w:t xml:space="preserve"> = 0.82). Por otro lado, los contrastes relativos a los ítems 1 al 4 (</w:t>
      </w:r>
      <w:r w:rsidR="00762B36">
        <w:rPr>
          <w:rStyle w:val="nfasis"/>
        </w:rPr>
        <w:t>Z</w:t>
      </w:r>
      <w:r w:rsidR="00762B36">
        <w:t xml:space="preserve"> = 12.5, </w:t>
      </w:r>
      <w:r w:rsidR="00762B36">
        <w:rPr>
          <w:rStyle w:val="nfasis"/>
        </w:rPr>
        <w:t>Z</w:t>
      </w:r>
      <w:r w:rsidR="00762B36">
        <w:t xml:space="preserve"> = 24, </w:t>
      </w:r>
      <w:r w:rsidR="00762B36">
        <w:rPr>
          <w:rStyle w:val="nfasis"/>
        </w:rPr>
        <w:t>Z</w:t>
      </w:r>
      <w:r w:rsidR="00762B36">
        <w:t xml:space="preserve"> = 34, y </w:t>
      </w:r>
      <w:r w:rsidR="00762B36">
        <w:rPr>
          <w:rStyle w:val="nfasis"/>
        </w:rPr>
        <w:t>Z</w:t>
      </w:r>
      <w:r w:rsidR="00762B36">
        <w:t xml:space="preserve"> = 45.5, respectivamente), y del 5 al 9 (</w:t>
      </w:r>
      <w:r w:rsidR="00762B36">
        <w:rPr>
          <w:rStyle w:val="nfasis"/>
        </w:rPr>
        <w:t>Z</w:t>
      </w:r>
      <w:r w:rsidR="00762B36">
        <w:t xml:space="preserve"> = 10.5, </w:t>
      </w:r>
      <w:r w:rsidR="00762B36">
        <w:rPr>
          <w:rStyle w:val="nfasis"/>
        </w:rPr>
        <w:t>Z</w:t>
      </w:r>
      <w:r w:rsidR="00762B36">
        <w:t xml:space="preserve"> = 57, </w:t>
      </w:r>
      <w:r w:rsidR="00762B36">
        <w:rPr>
          <w:rStyle w:val="nfasis"/>
        </w:rPr>
        <w:t>Z</w:t>
      </w:r>
      <w:r w:rsidR="00762B36">
        <w:t xml:space="preserve"> = 21, </w:t>
      </w:r>
      <w:r w:rsidR="00762B36">
        <w:rPr>
          <w:rStyle w:val="nfasis"/>
        </w:rPr>
        <w:t>Z</w:t>
      </w:r>
      <w:r w:rsidR="00762B36">
        <w:t xml:space="preserve"> = 7, y </w:t>
      </w:r>
      <w:r w:rsidR="00762B36">
        <w:rPr>
          <w:rStyle w:val="nfasis"/>
        </w:rPr>
        <w:t>Z</w:t>
      </w:r>
      <w:r w:rsidR="00762B36">
        <w:t xml:space="preserve"> = 27, respectivamente), muestran en todos los casos altos grados de significatividad (</w:t>
      </w:r>
      <w:r w:rsidR="00762B36">
        <w:rPr>
          <w:rStyle w:val="nfasis"/>
        </w:rPr>
        <w:t>p</w:t>
      </w:r>
      <w:r w:rsidR="00FD601B">
        <w:t xml:space="preserve"> &lt; 0.01).</w:t>
      </w:r>
      <w:r w:rsidR="00015C2E">
        <w:t xml:space="preserve"> Estos datos muestran, en línea general, resultados similares a los evidenciados en la comparativa realizada por Serrano y Pontes (2017), donde también se encontró un contraste de la misma naturaleza.</w:t>
      </w:r>
    </w:p>
    <w:p w14:paraId="0DBF6498" w14:textId="77777777" w:rsidR="008B1EA8" w:rsidRPr="00FA09D0" w:rsidRDefault="008B1EA8" w:rsidP="008B1EA8">
      <w:pPr>
        <w:pStyle w:val="TextoNormal"/>
        <w:rPr>
          <w:rFonts w:cs="Times New Roman"/>
          <w:sz w:val="22"/>
          <w:szCs w:val="22"/>
        </w:rPr>
      </w:pPr>
    </w:p>
    <w:p w14:paraId="0282E3D4" w14:textId="77777777" w:rsidR="008B1EA8" w:rsidRDefault="008B1EA8" w:rsidP="008B1EA8">
      <w:pPr>
        <w:pStyle w:val="phmfigures"/>
        <w:spacing w:before="0"/>
        <w:ind w:firstLine="0"/>
        <w:rPr>
          <w:lang w:eastAsia="es-ES"/>
        </w:rPr>
      </w:pPr>
      <w:r>
        <w:rPr>
          <w:b/>
          <w:smallCaps/>
          <w:sz w:val="22"/>
        </w:rPr>
        <w:t>Tabla</w:t>
      </w:r>
      <w:r w:rsidRPr="000156AB">
        <w:rPr>
          <w:b/>
          <w:smallCaps/>
          <w:sz w:val="22"/>
        </w:rPr>
        <w:t xml:space="preserve"> </w:t>
      </w:r>
      <w:r>
        <w:rPr>
          <w:b/>
          <w:smallCaps/>
          <w:noProof w:val="0"/>
          <w:sz w:val="22"/>
        </w:rPr>
        <w:t>2</w:t>
      </w:r>
      <w:r w:rsidRPr="000156AB">
        <w:rPr>
          <w:b/>
          <w:smallCaps/>
          <w:sz w:val="22"/>
        </w:rPr>
        <w:t>.</w:t>
      </w:r>
      <w:r>
        <w:rPr>
          <w:b/>
          <w:smallCaps/>
          <w:sz w:val="22"/>
        </w:rPr>
        <w:t xml:space="preserve"> </w:t>
      </w:r>
      <w:r w:rsidR="00061692">
        <w:rPr>
          <w:sz w:val="22"/>
        </w:rPr>
        <w:t xml:space="preserve">Autopercepción del dominio e importancia de competencias docentes tras el </w:t>
      </w:r>
      <w:r w:rsidR="00667883">
        <w:rPr>
          <w:sz w:val="22"/>
        </w:rPr>
        <w:t>Prácticum</w:t>
      </w:r>
      <w:r w:rsidR="009C2C94">
        <w:rPr>
          <w:sz w:val="22"/>
        </w:rPr>
        <w:t xml:space="preserve"> </w:t>
      </w:r>
    </w:p>
    <w:p w14:paraId="726AEFDD" w14:textId="77777777" w:rsidR="008B1EA8" w:rsidRPr="00FA09D0" w:rsidRDefault="008B1EA8" w:rsidP="008B1EA8">
      <w:pPr>
        <w:spacing w:line="240" w:lineRule="atLeast"/>
        <w:rPr>
          <w:rFonts w:cs="Times New Roman"/>
          <w:b/>
          <w:sz w:val="22"/>
          <w:szCs w:val="22"/>
          <w:lang w:val="es-ES"/>
        </w:rPr>
      </w:pPr>
    </w:p>
    <w:tbl>
      <w:tblPr>
        <w:tblW w:w="9213" w:type="dxa"/>
        <w:jc w:val="center"/>
        <w:tblBorders>
          <w:top w:val="single" w:sz="6" w:space="0" w:color="auto"/>
          <w:bottom w:val="single" w:sz="4" w:space="0" w:color="auto"/>
          <w:insideH w:val="single" w:sz="6" w:space="0" w:color="auto"/>
        </w:tblBorders>
        <w:tblLayout w:type="fixed"/>
        <w:tblLook w:val="01E0" w:firstRow="1" w:lastRow="1" w:firstColumn="1" w:lastColumn="1" w:noHBand="0" w:noVBand="0"/>
      </w:tblPr>
      <w:tblGrid>
        <w:gridCol w:w="6804"/>
        <w:gridCol w:w="1204"/>
        <w:gridCol w:w="1205"/>
      </w:tblGrid>
      <w:tr w:rsidR="008B1EA8" w:rsidRPr="00FA09D0" w14:paraId="6E52B7D7" w14:textId="77777777" w:rsidTr="00C3100B">
        <w:trPr>
          <w:cantSplit/>
          <w:jc w:val="center"/>
        </w:trPr>
        <w:tc>
          <w:tcPr>
            <w:tcW w:w="6804" w:type="dxa"/>
            <w:tcBorders>
              <w:top w:val="nil"/>
              <w:bottom w:val="single" w:sz="4" w:space="0" w:color="auto"/>
            </w:tcBorders>
          </w:tcPr>
          <w:p w14:paraId="0B80E5CE" w14:textId="77777777" w:rsidR="008B1EA8" w:rsidRPr="00C3100B" w:rsidRDefault="008B1EA8" w:rsidP="007C5EBB">
            <w:pPr>
              <w:rPr>
                <w:rFonts w:cs="Times New Roman"/>
                <w:sz w:val="22"/>
                <w:szCs w:val="22"/>
                <w:lang w:val="es-ES"/>
              </w:rPr>
            </w:pPr>
          </w:p>
        </w:tc>
        <w:tc>
          <w:tcPr>
            <w:tcW w:w="1204" w:type="dxa"/>
            <w:tcBorders>
              <w:top w:val="single" w:sz="4" w:space="0" w:color="auto"/>
              <w:bottom w:val="single" w:sz="4" w:space="0" w:color="auto"/>
            </w:tcBorders>
            <w:vAlign w:val="center"/>
          </w:tcPr>
          <w:p w14:paraId="6AFCC542" w14:textId="77777777" w:rsidR="008B1EA8" w:rsidRPr="00C3100B" w:rsidRDefault="00C3100B" w:rsidP="007C5EBB">
            <w:pPr>
              <w:pStyle w:val="PSITablaD"/>
              <w:tabs>
                <w:tab w:val="left" w:pos="388"/>
                <w:tab w:val="right" w:pos="635"/>
              </w:tabs>
              <w:spacing w:before="40" w:after="40"/>
              <w:rPr>
                <w:szCs w:val="22"/>
              </w:rPr>
            </w:pPr>
            <w:r w:rsidRPr="00C3100B">
              <w:rPr>
                <w:szCs w:val="22"/>
              </w:rPr>
              <w:t>Dominio (</w:t>
            </w:r>
            <w:r w:rsidRPr="00C3100B">
              <w:rPr>
                <w:i/>
                <w:szCs w:val="22"/>
              </w:rPr>
              <w:t>M</w:t>
            </w:r>
            <w:r w:rsidRPr="00C3100B">
              <w:rPr>
                <w:szCs w:val="22"/>
              </w:rPr>
              <w:t>)</w:t>
            </w:r>
          </w:p>
        </w:tc>
        <w:tc>
          <w:tcPr>
            <w:tcW w:w="1205" w:type="dxa"/>
            <w:tcBorders>
              <w:top w:val="single" w:sz="4" w:space="0" w:color="auto"/>
              <w:bottom w:val="single" w:sz="4" w:space="0" w:color="auto"/>
            </w:tcBorders>
            <w:vAlign w:val="center"/>
          </w:tcPr>
          <w:p w14:paraId="7E28625E" w14:textId="77777777" w:rsidR="008B1EA8" w:rsidRPr="00C3100B" w:rsidRDefault="00654593" w:rsidP="007C5EBB">
            <w:pPr>
              <w:pStyle w:val="PSITablaD"/>
              <w:tabs>
                <w:tab w:val="center" w:pos="33"/>
                <w:tab w:val="right" w:pos="776"/>
              </w:tabs>
              <w:spacing w:before="40" w:after="40"/>
              <w:rPr>
                <w:szCs w:val="22"/>
              </w:rPr>
            </w:pPr>
            <w:r w:rsidRPr="00C3100B">
              <w:rPr>
                <w:szCs w:val="22"/>
              </w:rPr>
              <w:t>Importancia</w:t>
            </w:r>
            <w:r w:rsidR="00C3100B" w:rsidRPr="00C3100B">
              <w:rPr>
                <w:szCs w:val="22"/>
              </w:rPr>
              <w:t xml:space="preserve"> (</w:t>
            </w:r>
            <w:r w:rsidR="00C3100B" w:rsidRPr="00C3100B">
              <w:rPr>
                <w:i/>
                <w:szCs w:val="22"/>
              </w:rPr>
              <w:t>M</w:t>
            </w:r>
            <w:r w:rsidR="00C3100B" w:rsidRPr="00C3100B">
              <w:rPr>
                <w:szCs w:val="22"/>
              </w:rPr>
              <w:t>)</w:t>
            </w:r>
          </w:p>
        </w:tc>
      </w:tr>
      <w:tr w:rsidR="008B1EA8" w:rsidRPr="00FA09D0" w14:paraId="1BD3A58B" w14:textId="77777777" w:rsidTr="00C3100B">
        <w:trPr>
          <w:cantSplit/>
          <w:trHeight w:val="849"/>
          <w:jc w:val="center"/>
        </w:trPr>
        <w:tc>
          <w:tcPr>
            <w:tcW w:w="6804" w:type="dxa"/>
            <w:tcBorders>
              <w:top w:val="single" w:sz="4" w:space="0" w:color="auto"/>
              <w:left w:val="nil"/>
              <w:bottom w:val="single" w:sz="4" w:space="0" w:color="auto"/>
            </w:tcBorders>
          </w:tcPr>
          <w:p w14:paraId="7663B182" w14:textId="77777777" w:rsidR="008B1EA8" w:rsidRPr="00E21828" w:rsidRDefault="008B1EA8" w:rsidP="007C5EBB">
            <w:pPr>
              <w:pStyle w:val="PSITablaD"/>
              <w:jc w:val="both"/>
              <w:rPr>
                <w:i/>
                <w:sz w:val="22"/>
                <w:szCs w:val="22"/>
              </w:rPr>
            </w:pPr>
            <w:r w:rsidRPr="00E21828">
              <w:rPr>
                <w:i/>
                <w:sz w:val="22"/>
                <w:szCs w:val="22"/>
              </w:rPr>
              <w:t>Categoría: planificación y evaluación de la enseñanza</w:t>
            </w:r>
          </w:p>
          <w:p w14:paraId="699DB28C" w14:textId="77777777" w:rsidR="008B1EA8" w:rsidRDefault="00DC4E59" w:rsidP="00C3100B">
            <w:pPr>
              <w:pStyle w:val="PSITablaD"/>
              <w:ind w:left="458"/>
              <w:jc w:val="both"/>
              <w:rPr>
                <w:sz w:val="22"/>
                <w:szCs w:val="22"/>
              </w:rPr>
            </w:pPr>
            <w:r>
              <w:rPr>
                <w:sz w:val="22"/>
                <w:szCs w:val="22"/>
              </w:rPr>
              <w:t xml:space="preserve">1. </w:t>
            </w:r>
            <w:r w:rsidR="008B1EA8" w:rsidRPr="008B1EA8">
              <w:rPr>
                <w:sz w:val="22"/>
                <w:szCs w:val="22"/>
              </w:rPr>
              <w:t>Adquirir experiencia en planificación, docencia y evaluación</w:t>
            </w:r>
          </w:p>
          <w:p w14:paraId="61D79B78" w14:textId="77777777" w:rsidR="008B1EA8" w:rsidRDefault="00DC4E59" w:rsidP="00C3100B">
            <w:pPr>
              <w:pStyle w:val="PSITablaD"/>
              <w:ind w:left="458"/>
              <w:jc w:val="both"/>
              <w:rPr>
                <w:sz w:val="22"/>
                <w:szCs w:val="22"/>
              </w:rPr>
            </w:pPr>
            <w:r>
              <w:rPr>
                <w:sz w:val="22"/>
                <w:szCs w:val="22"/>
              </w:rPr>
              <w:t xml:space="preserve">2. </w:t>
            </w:r>
            <w:r w:rsidR="008B1EA8" w:rsidRPr="008B1EA8">
              <w:rPr>
                <w:sz w:val="22"/>
                <w:szCs w:val="22"/>
              </w:rPr>
              <w:t xml:space="preserve">Analizar los resultados de la evaluación </w:t>
            </w:r>
            <w:r w:rsidR="00061692">
              <w:rPr>
                <w:sz w:val="22"/>
                <w:szCs w:val="22"/>
              </w:rPr>
              <w:t>para mejorar</w:t>
            </w:r>
          </w:p>
          <w:p w14:paraId="2774390A" w14:textId="77777777" w:rsidR="008B1EA8" w:rsidRDefault="00DC4E59" w:rsidP="00C3100B">
            <w:pPr>
              <w:pStyle w:val="PSITablaD"/>
              <w:ind w:left="458"/>
              <w:jc w:val="both"/>
              <w:rPr>
                <w:sz w:val="22"/>
                <w:szCs w:val="22"/>
              </w:rPr>
            </w:pPr>
            <w:r>
              <w:rPr>
                <w:sz w:val="22"/>
                <w:szCs w:val="22"/>
              </w:rPr>
              <w:t xml:space="preserve">3. </w:t>
            </w:r>
            <w:r w:rsidR="008B1EA8" w:rsidRPr="008B1EA8">
              <w:rPr>
                <w:sz w:val="22"/>
                <w:szCs w:val="22"/>
              </w:rPr>
              <w:t>Transformar los currículos en progra</w:t>
            </w:r>
            <w:r w:rsidR="00061692">
              <w:rPr>
                <w:sz w:val="22"/>
                <w:szCs w:val="22"/>
              </w:rPr>
              <w:t>mas de actividades y de trabajo</w:t>
            </w:r>
          </w:p>
          <w:p w14:paraId="30BD046F" w14:textId="77777777" w:rsidR="008B1EA8" w:rsidRDefault="00DC4E59" w:rsidP="00C3100B">
            <w:pPr>
              <w:pStyle w:val="PSITablaD"/>
              <w:ind w:left="458"/>
              <w:jc w:val="both"/>
              <w:rPr>
                <w:sz w:val="22"/>
                <w:szCs w:val="22"/>
              </w:rPr>
            </w:pPr>
            <w:r>
              <w:rPr>
                <w:sz w:val="22"/>
                <w:szCs w:val="22"/>
              </w:rPr>
              <w:t xml:space="preserve">4. </w:t>
            </w:r>
            <w:r w:rsidR="008B1EA8" w:rsidRPr="008B1EA8">
              <w:rPr>
                <w:sz w:val="22"/>
                <w:szCs w:val="22"/>
              </w:rPr>
              <w:t>Conocer estrategias y técnicas de evaluación</w:t>
            </w:r>
          </w:p>
          <w:p w14:paraId="5E5FDAF5" w14:textId="77777777" w:rsidR="008F74F7" w:rsidRPr="00FA09D0" w:rsidRDefault="008F74F7" w:rsidP="008F74F7">
            <w:pPr>
              <w:pStyle w:val="PSITablaD"/>
              <w:ind w:left="720"/>
              <w:jc w:val="both"/>
              <w:rPr>
                <w:sz w:val="22"/>
                <w:szCs w:val="22"/>
              </w:rPr>
            </w:pPr>
          </w:p>
        </w:tc>
        <w:tc>
          <w:tcPr>
            <w:tcW w:w="1204" w:type="dxa"/>
            <w:tcBorders>
              <w:top w:val="single" w:sz="4" w:space="0" w:color="auto"/>
              <w:bottom w:val="single" w:sz="4" w:space="0" w:color="auto"/>
            </w:tcBorders>
          </w:tcPr>
          <w:p w14:paraId="1E5FD188" w14:textId="77777777" w:rsidR="008B1EA8" w:rsidRPr="00F929BB" w:rsidRDefault="008B1EA8" w:rsidP="007C5EBB">
            <w:pPr>
              <w:pStyle w:val="PSITablaD"/>
              <w:rPr>
                <w:sz w:val="22"/>
                <w:szCs w:val="22"/>
              </w:rPr>
            </w:pPr>
          </w:p>
          <w:p w14:paraId="5CF610CB" w14:textId="77777777" w:rsidR="008B1EA8" w:rsidRDefault="00654593" w:rsidP="00654593">
            <w:pPr>
              <w:pStyle w:val="PSITablaD"/>
              <w:rPr>
                <w:sz w:val="22"/>
                <w:szCs w:val="22"/>
              </w:rPr>
            </w:pPr>
            <w:r w:rsidRPr="00654593">
              <w:rPr>
                <w:sz w:val="22"/>
                <w:szCs w:val="22"/>
              </w:rPr>
              <w:t>3.5</w:t>
            </w:r>
            <w:r w:rsidR="00B47B56">
              <w:rPr>
                <w:sz w:val="22"/>
                <w:szCs w:val="22"/>
              </w:rPr>
              <w:t>5</w:t>
            </w:r>
            <w:r w:rsidR="00C3100B">
              <w:rPr>
                <w:sz w:val="22"/>
                <w:szCs w:val="22"/>
              </w:rPr>
              <w:t xml:space="preserve"> </w:t>
            </w:r>
          </w:p>
          <w:p w14:paraId="66EF1309" w14:textId="77777777" w:rsidR="00654593" w:rsidRDefault="00B47B56" w:rsidP="00654593">
            <w:pPr>
              <w:pStyle w:val="PSITablaD"/>
              <w:rPr>
                <w:sz w:val="22"/>
                <w:szCs w:val="22"/>
              </w:rPr>
            </w:pPr>
            <w:r>
              <w:rPr>
                <w:sz w:val="22"/>
                <w:szCs w:val="22"/>
              </w:rPr>
              <w:t>3.11</w:t>
            </w:r>
          </w:p>
          <w:p w14:paraId="7CBA318F" w14:textId="77777777" w:rsidR="00654593" w:rsidRDefault="00B47B56" w:rsidP="00654593">
            <w:pPr>
              <w:pStyle w:val="PSITablaD"/>
              <w:rPr>
                <w:sz w:val="22"/>
                <w:szCs w:val="22"/>
              </w:rPr>
            </w:pPr>
            <w:r>
              <w:rPr>
                <w:sz w:val="22"/>
                <w:szCs w:val="22"/>
              </w:rPr>
              <w:t>3.27</w:t>
            </w:r>
          </w:p>
          <w:p w14:paraId="0E0C2D5E" w14:textId="77777777" w:rsidR="00654593" w:rsidRPr="00F929BB" w:rsidRDefault="00654593" w:rsidP="00B47B56">
            <w:pPr>
              <w:pStyle w:val="PSITablaD"/>
              <w:rPr>
                <w:sz w:val="22"/>
                <w:szCs w:val="22"/>
              </w:rPr>
            </w:pPr>
            <w:r w:rsidRPr="00654593">
              <w:rPr>
                <w:sz w:val="22"/>
                <w:szCs w:val="22"/>
              </w:rPr>
              <w:t>3.</w:t>
            </w:r>
            <w:r w:rsidR="00B47B56">
              <w:rPr>
                <w:sz w:val="22"/>
                <w:szCs w:val="22"/>
              </w:rPr>
              <w:t>34</w:t>
            </w:r>
          </w:p>
        </w:tc>
        <w:tc>
          <w:tcPr>
            <w:tcW w:w="1205" w:type="dxa"/>
            <w:tcBorders>
              <w:top w:val="single" w:sz="4" w:space="0" w:color="auto"/>
              <w:bottom w:val="single" w:sz="4" w:space="0" w:color="auto"/>
            </w:tcBorders>
          </w:tcPr>
          <w:p w14:paraId="043530B7" w14:textId="77777777" w:rsidR="008B1EA8" w:rsidRPr="00F929BB" w:rsidRDefault="008B1EA8" w:rsidP="007C5EBB">
            <w:pPr>
              <w:pStyle w:val="PSITablaD"/>
              <w:rPr>
                <w:sz w:val="22"/>
                <w:szCs w:val="22"/>
              </w:rPr>
            </w:pPr>
          </w:p>
          <w:p w14:paraId="079A8D7D" w14:textId="77777777" w:rsidR="008B1EA8" w:rsidRDefault="00654593" w:rsidP="00654593">
            <w:pPr>
              <w:pStyle w:val="PSITablaD"/>
              <w:rPr>
                <w:sz w:val="22"/>
                <w:szCs w:val="22"/>
              </w:rPr>
            </w:pPr>
            <w:r w:rsidRPr="00654593">
              <w:rPr>
                <w:sz w:val="22"/>
                <w:szCs w:val="22"/>
              </w:rPr>
              <w:t>4.63</w:t>
            </w:r>
          </w:p>
          <w:p w14:paraId="4F329FF1" w14:textId="77777777" w:rsidR="00654593" w:rsidRDefault="00654593" w:rsidP="00654593">
            <w:pPr>
              <w:pStyle w:val="PSITablaD"/>
              <w:rPr>
                <w:sz w:val="22"/>
                <w:szCs w:val="22"/>
              </w:rPr>
            </w:pPr>
            <w:r w:rsidRPr="00654593">
              <w:rPr>
                <w:sz w:val="22"/>
                <w:szCs w:val="22"/>
              </w:rPr>
              <w:t>4.56</w:t>
            </w:r>
          </w:p>
          <w:p w14:paraId="642ECED8" w14:textId="77777777" w:rsidR="00654593" w:rsidRDefault="00654593" w:rsidP="00654593">
            <w:pPr>
              <w:pStyle w:val="PSITablaD"/>
              <w:rPr>
                <w:sz w:val="22"/>
                <w:szCs w:val="22"/>
              </w:rPr>
            </w:pPr>
            <w:r w:rsidRPr="00654593">
              <w:rPr>
                <w:sz w:val="22"/>
                <w:szCs w:val="22"/>
              </w:rPr>
              <w:t>4.</w:t>
            </w:r>
            <w:r w:rsidR="00B47B56">
              <w:rPr>
                <w:sz w:val="22"/>
                <w:szCs w:val="22"/>
              </w:rPr>
              <w:t>23</w:t>
            </w:r>
          </w:p>
          <w:p w14:paraId="72C21CB1" w14:textId="77777777" w:rsidR="00654593" w:rsidRPr="00F929BB" w:rsidRDefault="00654593" w:rsidP="00654593">
            <w:pPr>
              <w:pStyle w:val="PSITablaD"/>
              <w:rPr>
                <w:sz w:val="22"/>
                <w:szCs w:val="22"/>
              </w:rPr>
            </w:pPr>
            <w:r w:rsidRPr="00654593">
              <w:rPr>
                <w:sz w:val="22"/>
                <w:szCs w:val="22"/>
              </w:rPr>
              <w:t>4.36</w:t>
            </w:r>
          </w:p>
        </w:tc>
      </w:tr>
      <w:tr w:rsidR="008B1EA8" w:rsidRPr="00FA09D0" w14:paraId="1088A120" w14:textId="77777777" w:rsidTr="00C3100B">
        <w:trPr>
          <w:cantSplit/>
          <w:trHeight w:val="788"/>
          <w:jc w:val="center"/>
        </w:trPr>
        <w:tc>
          <w:tcPr>
            <w:tcW w:w="6804" w:type="dxa"/>
            <w:tcBorders>
              <w:top w:val="single" w:sz="4" w:space="0" w:color="auto"/>
              <w:left w:val="nil"/>
              <w:bottom w:val="single" w:sz="4" w:space="0" w:color="auto"/>
            </w:tcBorders>
          </w:tcPr>
          <w:p w14:paraId="2182870F" w14:textId="77777777" w:rsidR="008B1EA8" w:rsidRPr="00E21828" w:rsidRDefault="008B1EA8" w:rsidP="007C5EBB">
            <w:pPr>
              <w:pStyle w:val="PSITablaD"/>
              <w:jc w:val="both"/>
              <w:rPr>
                <w:i/>
                <w:sz w:val="22"/>
                <w:szCs w:val="22"/>
              </w:rPr>
            </w:pPr>
            <w:r w:rsidRPr="00E21828">
              <w:rPr>
                <w:i/>
                <w:sz w:val="22"/>
                <w:szCs w:val="22"/>
              </w:rPr>
              <w:t>Categoría: gestión del aprendizaje</w:t>
            </w:r>
          </w:p>
          <w:p w14:paraId="278421D1" w14:textId="77777777" w:rsidR="008B1EA8" w:rsidRDefault="00DC4E59" w:rsidP="00C3100B">
            <w:pPr>
              <w:pStyle w:val="PSITablaD"/>
              <w:ind w:left="458"/>
              <w:jc w:val="both"/>
              <w:rPr>
                <w:sz w:val="22"/>
                <w:szCs w:val="22"/>
              </w:rPr>
            </w:pPr>
            <w:r>
              <w:rPr>
                <w:sz w:val="22"/>
                <w:szCs w:val="22"/>
              </w:rPr>
              <w:t xml:space="preserve">5. </w:t>
            </w:r>
            <w:r w:rsidR="008B1EA8" w:rsidRPr="008B1EA8">
              <w:rPr>
                <w:sz w:val="22"/>
                <w:szCs w:val="22"/>
              </w:rPr>
              <w:t>Participar en propuestas de mejora en los distintos ámbitos</w:t>
            </w:r>
          </w:p>
          <w:p w14:paraId="131220D3" w14:textId="77777777" w:rsidR="001B59CB" w:rsidRDefault="00DC4E59" w:rsidP="00C3100B">
            <w:pPr>
              <w:pStyle w:val="PSITablaD"/>
              <w:ind w:left="458"/>
              <w:jc w:val="both"/>
              <w:rPr>
                <w:sz w:val="22"/>
                <w:szCs w:val="22"/>
              </w:rPr>
            </w:pPr>
            <w:r>
              <w:rPr>
                <w:sz w:val="22"/>
                <w:szCs w:val="22"/>
              </w:rPr>
              <w:t xml:space="preserve">6. </w:t>
            </w:r>
            <w:r w:rsidR="001B59CB" w:rsidRPr="001B59CB">
              <w:rPr>
                <w:sz w:val="22"/>
                <w:szCs w:val="22"/>
              </w:rPr>
              <w:t>Conocer desarrollos teórico-prácticos de enseñanza y</w:t>
            </w:r>
            <w:r w:rsidR="001B59CB">
              <w:rPr>
                <w:sz w:val="22"/>
                <w:szCs w:val="22"/>
              </w:rPr>
              <w:t xml:space="preserve"> aprendizaje</w:t>
            </w:r>
          </w:p>
          <w:p w14:paraId="39820696" w14:textId="77777777" w:rsidR="008F74F7" w:rsidRPr="00B25373" w:rsidRDefault="008F74F7" w:rsidP="00061692">
            <w:pPr>
              <w:pStyle w:val="PSITablaD"/>
              <w:ind w:left="720"/>
              <w:jc w:val="both"/>
              <w:rPr>
                <w:sz w:val="22"/>
                <w:szCs w:val="22"/>
              </w:rPr>
            </w:pPr>
          </w:p>
        </w:tc>
        <w:tc>
          <w:tcPr>
            <w:tcW w:w="1204" w:type="dxa"/>
            <w:tcBorders>
              <w:top w:val="single" w:sz="4" w:space="0" w:color="auto"/>
              <w:bottom w:val="single" w:sz="4" w:space="0" w:color="auto"/>
            </w:tcBorders>
          </w:tcPr>
          <w:p w14:paraId="4C436A5B" w14:textId="77777777" w:rsidR="008B1EA8" w:rsidRPr="00F929BB" w:rsidRDefault="008B1EA8" w:rsidP="007C5EBB">
            <w:pPr>
              <w:pStyle w:val="PSITablaD"/>
              <w:rPr>
                <w:sz w:val="22"/>
                <w:szCs w:val="22"/>
              </w:rPr>
            </w:pPr>
          </w:p>
          <w:p w14:paraId="5153F1EF" w14:textId="77777777" w:rsidR="008B1EA8" w:rsidRDefault="00930AE6" w:rsidP="00930AE6">
            <w:pPr>
              <w:pStyle w:val="PSITablaD"/>
              <w:rPr>
                <w:sz w:val="22"/>
                <w:szCs w:val="22"/>
              </w:rPr>
            </w:pPr>
            <w:r w:rsidRPr="00930AE6">
              <w:rPr>
                <w:sz w:val="22"/>
                <w:szCs w:val="22"/>
              </w:rPr>
              <w:t>2.</w:t>
            </w:r>
            <w:r w:rsidR="00B47B56">
              <w:rPr>
                <w:sz w:val="22"/>
                <w:szCs w:val="22"/>
              </w:rPr>
              <w:t>95</w:t>
            </w:r>
          </w:p>
          <w:p w14:paraId="1C75459A" w14:textId="77777777" w:rsidR="00930AE6" w:rsidRPr="00F929BB" w:rsidRDefault="00930AE6" w:rsidP="00B47B56">
            <w:pPr>
              <w:pStyle w:val="PSITablaD"/>
              <w:rPr>
                <w:sz w:val="22"/>
                <w:szCs w:val="22"/>
              </w:rPr>
            </w:pPr>
            <w:r w:rsidRPr="00930AE6">
              <w:rPr>
                <w:sz w:val="22"/>
                <w:szCs w:val="22"/>
              </w:rPr>
              <w:t>3.4</w:t>
            </w:r>
            <w:r w:rsidR="00B47B56">
              <w:rPr>
                <w:sz w:val="22"/>
                <w:szCs w:val="22"/>
              </w:rPr>
              <w:t>1</w:t>
            </w:r>
          </w:p>
        </w:tc>
        <w:tc>
          <w:tcPr>
            <w:tcW w:w="1205" w:type="dxa"/>
            <w:tcBorders>
              <w:top w:val="single" w:sz="4" w:space="0" w:color="auto"/>
              <w:bottom w:val="single" w:sz="4" w:space="0" w:color="auto"/>
            </w:tcBorders>
          </w:tcPr>
          <w:p w14:paraId="59FBEE60" w14:textId="77777777" w:rsidR="008B1EA8" w:rsidRPr="00F929BB" w:rsidRDefault="008B1EA8" w:rsidP="007C5EBB">
            <w:pPr>
              <w:pStyle w:val="PSITablaD"/>
              <w:rPr>
                <w:sz w:val="22"/>
                <w:szCs w:val="22"/>
              </w:rPr>
            </w:pPr>
          </w:p>
          <w:p w14:paraId="30F4B304" w14:textId="77777777" w:rsidR="008B1EA8" w:rsidRDefault="00930AE6" w:rsidP="00061692">
            <w:pPr>
              <w:pStyle w:val="PSITablaD"/>
              <w:rPr>
                <w:sz w:val="22"/>
                <w:szCs w:val="22"/>
              </w:rPr>
            </w:pPr>
            <w:r w:rsidRPr="00930AE6">
              <w:rPr>
                <w:sz w:val="22"/>
                <w:szCs w:val="22"/>
              </w:rPr>
              <w:t>3.84</w:t>
            </w:r>
          </w:p>
          <w:p w14:paraId="368467A3" w14:textId="77777777" w:rsidR="00930AE6" w:rsidRPr="00F929BB" w:rsidRDefault="00930AE6" w:rsidP="00B47B56">
            <w:pPr>
              <w:pStyle w:val="PSITablaD"/>
              <w:rPr>
                <w:sz w:val="22"/>
                <w:szCs w:val="22"/>
              </w:rPr>
            </w:pPr>
            <w:r w:rsidRPr="00930AE6">
              <w:rPr>
                <w:sz w:val="22"/>
                <w:szCs w:val="22"/>
              </w:rPr>
              <w:t>4.0</w:t>
            </w:r>
            <w:r w:rsidR="00B47B56">
              <w:rPr>
                <w:sz w:val="22"/>
                <w:szCs w:val="22"/>
              </w:rPr>
              <w:t>2</w:t>
            </w:r>
          </w:p>
        </w:tc>
      </w:tr>
      <w:tr w:rsidR="008B1EA8" w:rsidRPr="00FA09D0" w14:paraId="0C26B278" w14:textId="77777777" w:rsidTr="00C3100B">
        <w:trPr>
          <w:cantSplit/>
          <w:trHeight w:val="1185"/>
          <w:jc w:val="center"/>
        </w:trPr>
        <w:tc>
          <w:tcPr>
            <w:tcW w:w="6804" w:type="dxa"/>
            <w:tcBorders>
              <w:top w:val="single" w:sz="4" w:space="0" w:color="auto"/>
              <w:left w:val="nil"/>
              <w:bottom w:val="single" w:sz="4" w:space="0" w:color="auto"/>
            </w:tcBorders>
          </w:tcPr>
          <w:p w14:paraId="6499F1FC" w14:textId="77777777" w:rsidR="008B1EA8" w:rsidRPr="00E21828" w:rsidRDefault="008B1EA8" w:rsidP="007C5EBB">
            <w:pPr>
              <w:pStyle w:val="PSITablaD"/>
              <w:jc w:val="both"/>
              <w:rPr>
                <w:i/>
                <w:sz w:val="22"/>
                <w:szCs w:val="22"/>
              </w:rPr>
            </w:pPr>
            <w:r w:rsidRPr="00E21828">
              <w:rPr>
                <w:i/>
                <w:sz w:val="22"/>
                <w:szCs w:val="22"/>
              </w:rPr>
              <w:t>Categoría: utilización de estrategias y recursos</w:t>
            </w:r>
          </w:p>
          <w:p w14:paraId="00E53495" w14:textId="77777777" w:rsidR="008B1EA8" w:rsidRDefault="00DC4E59" w:rsidP="00C3100B">
            <w:pPr>
              <w:pStyle w:val="PSITablaD"/>
              <w:ind w:left="458"/>
              <w:jc w:val="both"/>
              <w:rPr>
                <w:sz w:val="22"/>
                <w:szCs w:val="22"/>
              </w:rPr>
            </w:pPr>
            <w:r>
              <w:rPr>
                <w:sz w:val="22"/>
                <w:szCs w:val="22"/>
              </w:rPr>
              <w:t xml:space="preserve">7. </w:t>
            </w:r>
            <w:r w:rsidR="001B59CB" w:rsidRPr="001B59CB">
              <w:rPr>
                <w:sz w:val="22"/>
                <w:szCs w:val="22"/>
              </w:rPr>
              <w:t xml:space="preserve">Planificar el proceso de enseñanza diseñando materiales </w:t>
            </w:r>
            <w:r w:rsidR="008F74F7">
              <w:rPr>
                <w:sz w:val="22"/>
                <w:szCs w:val="22"/>
              </w:rPr>
              <w:t>y tareas</w:t>
            </w:r>
          </w:p>
          <w:p w14:paraId="741ED80C" w14:textId="77777777" w:rsidR="001B59CB" w:rsidRPr="008F74F7" w:rsidRDefault="00DC4E59" w:rsidP="00C3100B">
            <w:pPr>
              <w:pStyle w:val="PSITablaD"/>
              <w:ind w:left="458"/>
              <w:jc w:val="both"/>
              <w:rPr>
                <w:sz w:val="22"/>
                <w:szCs w:val="22"/>
              </w:rPr>
            </w:pPr>
            <w:r>
              <w:rPr>
                <w:sz w:val="22"/>
                <w:szCs w:val="22"/>
              </w:rPr>
              <w:t xml:space="preserve">8. </w:t>
            </w:r>
            <w:r w:rsidR="001B59CB" w:rsidRPr="008F74F7">
              <w:rPr>
                <w:sz w:val="22"/>
                <w:szCs w:val="22"/>
              </w:rPr>
              <w:t xml:space="preserve">Adquirir criterios de selección y </w:t>
            </w:r>
            <w:r>
              <w:rPr>
                <w:sz w:val="22"/>
                <w:szCs w:val="22"/>
              </w:rPr>
              <w:t>elaboración de materiales</w:t>
            </w:r>
          </w:p>
          <w:p w14:paraId="5E532CBC" w14:textId="77777777" w:rsidR="00DC4E59" w:rsidRDefault="00DC4E59" w:rsidP="00DC4E59">
            <w:pPr>
              <w:pStyle w:val="PSITablaD"/>
              <w:ind w:left="458"/>
              <w:jc w:val="both"/>
              <w:rPr>
                <w:sz w:val="22"/>
                <w:szCs w:val="22"/>
              </w:rPr>
            </w:pPr>
            <w:r>
              <w:rPr>
                <w:sz w:val="22"/>
                <w:szCs w:val="22"/>
              </w:rPr>
              <w:t xml:space="preserve">9. </w:t>
            </w:r>
            <w:r w:rsidRPr="008F74F7">
              <w:rPr>
                <w:sz w:val="22"/>
                <w:szCs w:val="22"/>
              </w:rPr>
              <w:t>Conocer y aplicar propuestas docentes innovadoras</w:t>
            </w:r>
          </w:p>
          <w:p w14:paraId="37E80EBA" w14:textId="77777777" w:rsidR="001B59CB" w:rsidRPr="008F74F7" w:rsidRDefault="00DC4E59" w:rsidP="00C3100B">
            <w:pPr>
              <w:pStyle w:val="PSITablaD"/>
              <w:ind w:left="458"/>
              <w:jc w:val="both"/>
              <w:rPr>
                <w:sz w:val="22"/>
                <w:szCs w:val="22"/>
              </w:rPr>
            </w:pPr>
            <w:r>
              <w:rPr>
                <w:sz w:val="22"/>
                <w:szCs w:val="22"/>
              </w:rPr>
              <w:t xml:space="preserve">10. </w:t>
            </w:r>
            <w:r w:rsidR="001B59CB" w:rsidRPr="008F74F7">
              <w:rPr>
                <w:sz w:val="22"/>
                <w:szCs w:val="22"/>
              </w:rPr>
              <w:t>Integrar la formación en comunicación audiovisual y multimedia</w:t>
            </w:r>
          </w:p>
          <w:p w14:paraId="5C89B4A9" w14:textId="77777777" w:rsidR="008F74F7" w:rsidRPr="00E21828" w:rsidRDefault="008F74F7" w:rsidP="00DC4E59">
            <w:pPr>
              <w:pStyle w:val="PSITablaD"/>
              <w:ind w:left="458"/>
              <w:jc w:val="both"/>
              <w:rPr>
                <w:i/>
                <w:sz w:val="22"/>
                <w:szCs w:val="22"/>
              </w:rPr>
            </w:pPr>
          </w:p>
        </w:tc>
        <w:tc>
          <w:tcPr>
            <w:tcW w:w="1204" w:type="dxa"/>
            <w:tcBorders>
              <w:top w:val="single" w:sz="4" w:space="0" w:color="auto"/>
              <w:bottom w:val="single" w:sz="4" w:space="0" w:color="auto"/>
            </w:tcBorders>
          </w:tcPr>
          <w:p w14:paraId="29E48EFD" w14:textId="77777777" w:rsidR="008B1EA8" w:rsidRPr="00F929BB" w:rsidRDefault="008B1EA8" w:rsidP="007C5EBB">
            <w:pPr>
              <w:pStyle w:val="PSITablaD"/>
              <w:rPr>
                <w:sz w:val="22"/>
                <w:szCs w:val="22"/>
              </w:rPr>
            </w:pPr>
          </w:p>
          <w:p w14:paraId="404E4059" w14:textId="77777777" w:rsidR="008B1EA8" w:rsidRDefault="00B47B56" w:rsidP="008F74F7">
            <w:pPr>
              <w:pStyle w:val="PSITablaD"/>
              <w:rPr>
                <w:sz w:val="22"/>
                <w:szCs w:val="22"/>
              </w:rPr>
            </w:pPr>
            <w:r>
              <w:rPr>
                <w:sz w:val="22"/>
                <w:szCs w:val="22"/>
              </w:rPr>
              <w:t>3.72</w:t>
            </w:r>
          </w:p>
          <w:p w14:paraId="15077844" w14:textId="77777777" w:rsidR="00B47B56" w:rsidRDefault="00B47B56" w:rsidP="008F74F7">
            <w:pPr>
              <w:pStyle w:val="PSITablaD"/>
              <w:rPr>
                <w:sz w:val="22"/>
                <w:szCs w:val="22"/>
              </w:rPr>
            </w:pPr>
            <w:r w:rsidRPr="00B47B56">
              <w:rPr>
                <w:sz w:val="22"/>
                <w:szCs w:val="22"/>
              </w:rPr>
              <w:t>3.4</w:t>
            </w:r>
            <w:r>
              <w:rPr>
                <w:sz w:val="22"/>
                <w:szCs w:val="22"/>
              </w:rPr>
              <w:t>3</w:t>
            </w:r>
          </w:p>
          <w:p w14:paraId="5A9D8BB0" w14:textId="77777777" w:rsidR="00DC4E59" w:rsidRDefault="00DC4E59" w:rsidP="00B47B56">
            <w:pPr>
              <w:pStyle w:val="PSITablaD"/>
              <w:rPr>
                <w:sz w:val="22"/>
                <w:szCs w:val="22"/>
              </w:rPr>
            </w:pPr>
            <w:r>
              <w:rPr>
                <w:sz w:val="22"/>
                <w:szCs w:val="22"/>
              </w:rPr>
              <w:t>3.16</w:t>
            </w:r>
          </w:p>
          <w:p w14:paraId="6904C79C" w14:textId="77777777" w:rsidR="00B47B56" w:rsidRPr="00F929BB" w:rsidRDefault="00B47B56" w:rsidP="00DC4E59">
            <w:pPr>
              <w:pStyle w:val="PSITablaD"/>
              <w:rPr>
                <w:sz w:val="22"/>
                <w:szCs w:val="22"/>
              </w:rPr>
            </w:pPr>
            <w:r w:rsidRPr="00B47B56">
              <w:rPr>
                <w:sz w:val="22"/>
                <w:szCs w:val="22"/>
              </w:rPr>
              <w:t>3.</w:t>
            </w:r>
            <w:r>
              <w:rPr>
                <w:sz w:val="22"/>
                <w:szCs w:val="22"/>
              </w:rPr>
              <w:t>59</w:t>
            </w:r>
          </w:p>
        </w:tc>
        <w:tc>
          <w:tcPr>
            <w:tcW w:w="1205" w:type="dxa"/>
            <w:tcBorders>
              <w:top w:val="single" w:sz="4" w:space="0" w:color="auto"/>
              <w:bottom w:val="single" w:sz="4" w:space="0" w:color="auto"/>
            </w:tcBorders>
          </w:tcPr>
          <w:p w14:paraId="776AA25B" w14:textId="77777777" w:rsidR="008B1EA8" w:rsidRPr="00F929BB" w:rsidRDefault="008B1EA8" w:rsidP="007C5EBB">
            <w:pPr>
              <w:pStyle w:val="PSITablaD"/>
              <w:rPr>
                <w:sz w:val="22"/>
                <w:szCs w:val="22"/>
              </w:rPr>
            </w:pPr>
          </w:p>
          <w:p w14:paraId="50E37278" w14:textId="77777777" w:rsidR="008B1EA8" w:rsidRDefault="00B47B56" w:rsidP="008F74F7">
            <w:pPr>
              <w:pStyle w:val="PSITablaD"/>
              <w:rPr>
                <w:sz w:val="22"/>
                <w:szCs w:val="22"/>
              </w:rPr>
            </w:pPr>
            <w:r>
              <w:rPr>
                <w:sz w:val="22"/>
                <w:szCs w:val="22"/>
              </w:rPr>
              <w:t>4.56</w:t>
            </w:r>
          </w:p>
          <w:p w14:paraId="40AB57B6" w14:textId="77777777" w:rsidR="00B47B56" w:rsidRDefault="00B47B56" w:rsidP="008F74F7">
            <w:pPr>
              <w:pStyle w:val="PSITablaD"/>
              <w:rPr>
                <w:sz w:val="22"/>
                <w:szCs w:val="22"/>
              </w:rPr>
            </w:pPr>
            <w:r w:rsidRPr="00B47B56">
              <w:rPr>
                <w:sz w:val="22"/>
                <w:szCs w:val="22"/>
              </w:rPr>
              <w:t>4.32</w:t>
            </w:r>
          </w:p>
          <w:p w14:paraId="0850AD19" w14:textId="77777777" w:rsidR="00DC4E59" w:rsidRDefault="00DC4E59" w:rsidP="00B47B56">
            <w:pPr>
              <w:pStyle w:val="PSITablaD"/>
              <w:rPr>
                <w:sz w:val="22"/>
                <w:szCs w:val="22"/>
              </w:rPr>
            </w:pPr>
            <w:r>
              <w:rPr>
                <w:sz w:val="22"/>
                <w:szCs w:val="22"/>
              </w:rPr>
              <w:t>4.05</w:t>
            </w:r>
          </w:p>
          <w:p w14:paraId="1A0D529B" w14:textId="77777777" w:rsidR="00B47B56" w:rsidRPr="00F929BB" w:rsidRDefault="00B47B56" w:rsidP="00DC4E59">
            <w:pPr>
              <w:pStyle w:val="PSITablaD"/>
              <w:rPr>
                <w:sz w:val="22"/>
                <w:szCs w:val="22"/>
              </w:rPr>
            </w:pPr>
            <w:r w:rsidRPr="00B47B56">
              <w:rPr>
                <w:sz w:val="22"/>
                <w:szCs w:val="22"/>
              </w:rPr>
              <w:t>3.</w:t>
            </w:r>
            <w:r>
              <w:rPr>
                <w:sz w:val="22"/>
                <w:szCs w:val="22"/>
              </w:rPr>
              <w:t>64</w:t>
            </w:r>
          </w:p>
        </w:tc>
      </w:tr>
    </w:tbl>
    <w:p w14:paraId="439954E0" w14:textId="77777777" w:rsidR="008B1EA8" w:rsidRDefault="008B1EA8" w:rsidP="008B1EA8">
      <w:pPr>
        <w:pStyle w:val="Piedegrficooimagen"/>
        <w:spacing w:before="0" w:after="0"/>
        <w:ind w:left="284" w:right="275"/>
        <w:rPr>
          <w:lang w:val="es-ES_tradnl"/>
        </w:rPr>
      </w:pPr>
      <w:r w:rsidRPr="00B25373">
        <w:rPr>
          <w:i/>
          <w:lang w:val="es-ES_tradnl"/>
        </w:rPr>
        <w:lastRenderedPageBreak/>
        <w:t>Nota</w:t>
      </w:r>
      <w:r>
        <w:rPr>
          <w:lang w:val="es-ES_tradnl"/>
        </w:rPr>
        <w:t xml:space="preserve">. </w:t>
      </w:r>
      <w:r w:rsidRPr="00F929BB">
        <w:rPr>
          <w:i/>
          <w:lang w:val="es-ES_tradnl"/>
        </w:rPr>
        <w:t>M</w:t>
      </w:r>
      <w:r w:rsidR="00C3100B">
        <w:rPr>
          <w:lang w:val="es-ES_tradnl"/>
        </w:rPr>
        <w:t xml:space="preserve"> = media</w:t>
      </w:r>
      <w:r>
        <w:rPr>
          <w:lang w:val="es-ES_tradnl"/>
        </w:rPr>
        <w:t>.</w:t>
      </w:r>
      <w:r w:rsidR="009C2C94">
        <w:rPr>
          <w:lang w:val="es-ES_tradnl"/>
        </w:rPr>
        <w:t xml:space="preserve"> </w:t>
      </w:r>
      <w:r>
        <w:rPr>
          <w:lang w:val="es-ES_tradnl"/>
        </w:rPr>
        <w:t xml:space="preserve">Escala utilizada: 1: </w:t>
      </w:r>
      <w:r w:rsidR="009C2C94">
        <w:rPr>
          <w:lang w:val="es-ES_tradnl"/>
        </w:rPr>
        <w:t>ningún dominio / ninguna importancia</w:t>
      </w:r>
      <w:r>
        <w:rPr>
          <w:lang w:val="es-ES_tradnl"/>
        </w:rPr>
        <w:t xml:space="preserve">; 5: </w:t>
      </w:r>
      <w:r w:rsidR="009C2C94">
        <w:rPr>
          <w:lang w:val="es-ES_tradnl"/>
        </w:rPr>
        <w:t>completo dominio / mucha importancia</w:t>
      </w:r>
      <w:r>
        <w:rPr>
          <w:lang w:val="es-ES_tradnl"/>
        </w:rPr>
        <w:t>.</w:t>
      </w:r>
    </w:p>
    <w:p w14:paraId="6C59E073" w14:textId="77777777" w:rsidR="008B1EA8" w:rsidRPr="00F929BB" w:rsidRDefault="008B1EA8" w:rsidP="008B1EA8">
      <w:pPr>
        <w:pStyle w:val="TextoNormal"/>
        <w:rPr>
          <w:rFonts w:cs="Times New Roman"/>
        </w:rPr>
      </w:pPr>
    </w:p>
    <w:p w14:paraId="4F049C21" w14:textId="77777777" w:rsidR="0045458F" w:rsidRPr="00026BE7" w:rsidRDefault="009C2C94" w:rsidP="007C5EBB">
      <w:pPr>
        <w:pStyle w:val="TextoNormal"/>
      </w:pPr>
      <w:r>
        <w:t xml:space="preserve">En segundo lugar, </w:t>
      </w:r>
      <w:r w:rsidR="00FF0AA4">
        <w:t xml:space="preserve">la Tabla 3 refleja otro conjunto de competencias, en esta ocasión centradas en el fomento de un clima de aprendizaje y convivencia, ligadas a la comunicación, así como a aspectos organizativos. </w:t>
      </w:r>
      <w:r w:rsidR="00765F8A">
        <w:t>En este caso, l</w:t>
      </w:r>
      <w:r w:rsidR="00312FDC">
        <w:t>a</w:t>
      </w:r>
      <w:r w:rsidR="0045458F">
        <w:t xml:space="preserve"> competencia cuya importancia es valorada de manera más elevada (</w:t>
      </w:r>
      <w:r w:rsidR="0045458F" w:rsidRPr="0045458F">
        <w:rPr>
          <w:i/>
        </w:rPr>
        <w:t>M</w:t>
      </w:r>
      <w:r w:rsidR="0045458F">
        <w:t xml:space="preserve"> = 4.77) hace referencia a </w:t>
      </w:r>
      <w:r w:rsidR="0045458F" w:rsidRPr="0045458F">
        <w:t>aspectos ligados a la comunicación</w:t>
      </w:r>
      <w:r w:rsidR="0045458F">
        <w:t xml:space="preserve">. </w:t>
      </w:r>
      <w:r w:rsidR="00765F8A">
        <w:t xml:space="preserve">Estableciendo, de nuevo, una comparación con el análisis realizado por </w:t>
      </w:r>
      <w:r w:rsidR="00765F8A">
        <w:rPr>
          <w:lang w:val="es-ES"/>
        </w:rPr>
        <w:t>García Rodríguez et al. (2011), puede observarse que las competencias relacionadas con la comunicación se encuentran entre las más valoradas por los docentes en formación tras el Prácticum. Además, en ambos contextos</w:t>
      </w:r>
      <w:r w:rsidR="007C5EBB">
        <w:t>, los profesores en formación consideran, como competencias más desarrolladas</w:t>
      </w:r>
      <w:r w:rsidR="00765F8A">
        <w:t xml:space="preserve"> (no solamente las más importantes)</w:t>
      </w:r>
      <w:r w:rsidR="007C5EBB">
        <w:t xml:space="preserve">, las ligadas a la comunicación efectiva en el aula. </w:t>
      </w:r>
    </w:p>
    <w:p w14:paraId="7EE67DAB" w14:textId="77777777" w:rsidR="00762B36" w:rsidRDefault="007F729F" w:rsidP="00762B36">
      <w:pPr>
        <w:pStyle w:val="TextoNormal"/>
      </w:pPr>
      <w:r>
        <w:t>De nuevo, es posible destacar que las valoraciones de la importancia atribuida son siempre superiores a las del grado de dominio de las competencias</w:t>
      </w:r>
      <w:r w:rsidR="00765F8A">
        <w:t xml:space="preserve">. </w:t>
      </w:r>
      <w:r>
        <w:t>La</w:t>
      </w:r>
      <w:r w:rsidR="00762B36">
        <w:t xml:space="preserve"> prueba de</w:t>
      </w:r>
      <w:r w:rsidR="00762B36" w:rsidRPr="00E04F5A">
        <w:t xml:space="preserve"> </w:t>
      </w:r>
      <w:r w:rsidR="00762B36">
        <w:t>Wilcoxon fue aplicada para establecer una comparativa. Los ítems 11 al 15 evidencian diferencias estadísticamente significativas (</w:t>
      </w:r>
      <w:r w:rsidR="00762B36">
        <w:rPr>
          <w:rStyle w:val="nfasis"/>
        </w:rPr>
        <w:t>Z</w:t>
      </w:r>
      <w:r w:rsidR="00762B36">
        <w:t xml:space="preserve"> = 26, </w:t>
      </w:r>
      <w:r w:rsidR="00762B36">
        <w:rPr>
          <w:rStyle w:val="nfasis"/>
        </w:rPr>
        <w:t>Z</w:t>
      </w:r>
      <w:r w:rsidR="00762B36">
        <w:t xml:space="preserve"> = 24, </w:t>
      </w:r>
      <w:r w:rsidR="00762B36">
        <w:rPr>
          <w:rStyle w:val="nfasis"/>
        </w:rPr>
        <w:t>Z</w:t>
      </w:r>
      <w:r w:rsidR="00762B36">
        <w:t xml:space="preserve"> = 0, </w:t>
      </w:r>
      <w:r w:rsidR="00762B36">
        <w:rPr>
          <w:rStyle w:val="nfasis"/>
        </w:rPr>
        <w:t>Z</w:t>
      </w:r>
      <w:r w:rsidR="00762B36">
        <w:t xml:space="preserve"> = 27, y </w:t>
      </w:r>
      <w:r w:rsidR="00762B36">
        <w:rPr>
          <w:rStyle w:val="nfasis"/>
        </w:rPr>
        <w:t>Z</w:t>
      </w:r>
      <w:r w:rsidR="00762B36">
        <w:t xml:space="preserve"> = 136.5, respectivamente, en todos los casos con </w:t>
      </w:r>
      <w:r w:rsidR="00762B36">
        <w:rPr>
          <w:rStyle w:val="nfasis"/>
        </w:rPr>
        <w:t>p</w:t>
      </w:r>
      <w:r w:rsidR="00762B36">
        <w:t xml:space="preserve"> &lt; 0.01). La única excepción en esta ocasión es el ítem 16, en el que la prueba de Wilcoxon, de nuevo, no muestra contrastes significativos (</w:t>
      </w:r>
      <w:r w:rsidR="00762B36">
        <w:rPr>
          <w:rStyle w:val="nfasis"/>
        </w:rPr>
        <w:t>Z</w:t>
      </w:r>
      <w:r w:rsidR="00762B36">
        <w:t xml:space="preserve"> = 244, </w:t>
      </w:r>
      <w:r w:rsidR="00762B36">
        <w:rPr>
          <w:rStyle w:val="nfasis"/>
        </w:rPr>
        <w:t>p</w:t>
      </w:r>
      <w:r w:rsidR="00762B36">
        <w:t xml:space="preserve"> = 0.06).</w:t>
      </w:r>
    </w:p>
    <w:p w14:paraId="6B700799" w14:textId="77777777" w:rsidR="009C2C94" w:rsidRPr="00FA09D0" w:rsidRDefault="009C2C94" w:rsidP="009C2C94">
      <w:pPr>
        <w:pStyle w:val="TextoNormal"/>
        <w:rPr>
          <w:rFonts w:cs="Times New Roman"/>
          <w:sz w:val="22"/>
          <w:szCs w:val="22"/>
        </w:rPr>
      </w:pPr>
    </w:p>
    <w:p w14:paraId="43E069CC" w14:textId="77777777" w:rsidR="009C2C94" w:rsidRDefault="009C2C94" w:rsidP="009C2C94">
      <w:pPr>
        <w:pStyle w:val="phmfigures"/>
        <w:spacing w:before="0"/>
        <w:ind w:firstLine="0"/>
        <w:rPr>
          <w:lang w:eastAsia="es-ES"/>
        </w:rPr>
      </w:pPr>
      <w:r>
        <w:rPr>
          <w:b/>
          <w:smallCaps/>
          <w:sz w:val="22"/>
        </w:rPr>
        <w:t>Tabla</w:t>
      </w:r>
      <w:r w:rsidRPr="000156AB">
        <w:rPr>
          <w:b/>
          <w:smallCaps/>
          <w:sz w:val="22"/>
        </w:rPr>
        <w:t xml:space="preserve"> </w:t>
      </w:r>
      <w:r>
        <w:rPr>
          <w:b/>
          <w:smallCaps/>
          <w:noProof w:val="0"/>
          <w:sz w:val="22"/>
        </w:rPr>
        <w:t>3</w:t>
      </w:r>
      <w:r w:rsidRPr="000156AB">
        <w:rPr>
          <w:b/>
          <w:smallCaps/>
          <w:sz w:val="22"/>
        </w:rPr>
        <w:t>.</w:t>
      </w:r>
      <w:r>
        <w:rPr>
          <w:b/>
          <w:smallCaps/>
          <w:sz w:val="22"/>
        </w:rPr>
        <w:t xml:space="preserve"> </w:t>
      </w:r>
      <w:r>
        <w:rPr>
          <w:sz w:val="22"/>
        </w:rPr>
        <w:t xml:space="preserve">Autopercepción del dominio e importancia de competencias docentes tras el </w:t>
      </w:r>
      <w:r w:rsidR="00667883">
        <w:rPr>
          <w:sz w:val="22"/>
        </w:rPr>
        <w:t>Prácticum</w:t>
      </w:r>
    </w:p>
    <w:p w14:paraId="1347A2A2" w14:textId="77777777" w:rsidR="009C2C94" w:rsidRPr="00FA09D0" w:rsidRDefault="009C2C94" w:rsidP="009C2C94">
      <w:pPr>
        <w:spacing w:line="240" w:lineRule="atLeast"/>
        <w:rPr>
          <w:rFonts w:cs="Times New Roman"/>
          <w:b/>
          <w:sz w:val="22"/>
          <w:szCs w:val="22"/>
          <w:lang w:val="es-ES"/>
        </w:rPr>
      </w:pPr>
    </w:p>
    <w:tbl>
      <w:tblPr>
        <w:tblW w:w="9213" w:type="dxa"/>
        <w:jc w:val="center"/>
        <w:tblBorders>
          <w:top w:val="single" w:sz="6" w:space="0" w:color="auto"/>
          <w:bottom w:val="single" w:sz="4" w:space="0" w:color="auto"/>
          <w:insideH w:val="single" w:sz="6" w:space="0" w:color="auto"/>
        </w:tblBorders>
        <w:tblLayout w:type="fixed"/>
        <w:tblLook w:val="01E0" w:firstRow="1" w:lastRow="1" w:firstColumn="1" w:lastColumn="1" w:noHBand="0" w:noVBand="0"/>
      </w:tblPr>
      <w:tblGrid>
        <w:gridCol w:w="6804"/>
        <w:gridCol w:w="1204"/>
        <w:gridCol w:w="1205"/>
      </w:tblGrid>
      <w:tr w:rsidR="009C2C94" w:rsidRPr="00FA09D0" w14:paraId="2539F52B" w14:textId="77777777" w:rsidTr="007C5EBB">
        <w:trPr>
          <w:cantSplit/>
          <w:jc w:val="center"/>
        </w:trPr>
        <w:tc>
          <w:tcPr>
            <w:tcW w:w="6804" w:type="dxa"/>
            <w:tcBorders>
              <w:top w:val="nil"/>
              <w:bottom w:val="single" w:sz="4" w:space="0" w:color="auto"/>
            </w:tcBorders>
          </w:tcPr>
          <w:p w14:paraId="3E36ED6E" w14:textId="77777777" w:rsidR="009C2C94" w:rsidRPr="00C3100B" w:rsidRDefault="009C2C94" w:rsidP="007C5EBB">
            <w:pPr>
              <w:rPr>
                <w:rFonts w:cs="Times New Roman"/>
                <w:sz w:val="22"/>
                <w:szCs w:val="22"/>
                <w:lang w:val="es-ES"/>
              </w:rPr>
            </w:pPr>
          </w:p>
        </w:tc>
        <w:tc>
          <w:tcPr>
            <w:tcW w:w="1204" w:type="dxa"/>
            <w:tcBorders>
              <w:top w:val="single" w:sz="4" w:space="0" w:color="auto"/>
              <w:bottom w:val="single" w:sz="4" w:space="0" w:color="auto"/>
            </w:tcBorders>
            <w:vAlign w:val="center"/>
          </w:tcPr>
          <w:p w14:paraId="5C3F60DD" w14:textId="77777777" w:rsidR="009C2C94" w:rsidRPr="00C3100B" w:rsidRDefault="009C2C94" w:rsidP="007C5EBB">
            <w:pPr>
              <w:pStyle w:val="PSITablaD"/>
              <w:tabs>
                <w:tab w:val="left" w:pos="388"/>
                <w:tab w:val="right" w:pos="635"/>
              </w:tabs>
              <w:spacing w:before="40" w:after="40"/>
              <w:rPr>
                <w:szCs w:val="22"/>
              </w:rPr>
            </w:pPr>
            <w:r w:rsidRPr="00C3100B">
              <w:rPr>
                <w:szCs w:val="22"/>
              </w:rPr>
              <w:t>Dominio (</w:t>
            </w:r>
            <w:r w:rsidRPr="00C3100B">
              <w:rPr>
                <w:i/>
                <w:szCs w:val="22"/>
              </w:rPr>
              <w:t>M</w:t>
            </w:r>
            <w:r w:rsidRPr="00C3100B">
              <w:rPr>
                <w:szCs w:val="22"/>
              </w:rPr>
              <w:t>)</w:t>
            </w:r>
          </w:p>
        </w:tc>
        <w:tc>
          <w:tcPr>
            <w:tcW w:w="1205" w:type="dxa"/>
            <w:tcBorders>
              <w:top w:val="single" w:sz="4" w:space="0" w:color="auto"/>
              <w:bottom w:val="single" w:sz="4" w:space="0" w:color="auto"/>
            </w:tcBorders>
            <w:vAlign w:val="center"/>
          </w:tcPr>
          <w:p w14:paraId="0673D834" w14:textId="77777777" w:rsidR="009C2C94" w:rsidRPr="00C3100B" w:rsidRDefault="009C2C94" w:rsidP="007C5EBB">
            <w:pPr>
              <w:pStyle w:val="PSITablaD"/>
              <w:tabs>
                <w:tab w:val="center" w:pos="33"/>
                <w:tab w:val="right" w:pos="776"/>
              </w:tabs>
              <w:spacing w:before="40" w:after="40"/>
              <w:rPr>
                <w:szCs w:val="22"/>
              </w:rPr>
            </w:pPr>
            <w:r w:rsidRPr="00C3100B">
              <w:rPr>
                <w:szCs w:val="22"/>
              </w:rPr>
              <w:t>Importancia (</w:t>
            </w:r>
            <w:r w:rsidRPr="00C3100B">
              <w:rPr>
                <w:i/>
                <w:szCs w:val="22"/>
              </w:rPr>
              <w:t>M</w:t>
            </w:r>
            <w:r w:rsidRPr="00C3100B">
              <w:rPr>
                <w:szCs w:val="22"/>
              </w:rPr>
              <w:t>)</w:t>
            </w:r>
          </w:p>
        </w:tc>
      </w:tr>
      <w:tr w:rsidR="009C2C94" w:rsidRPr="00FA09D0" w14:paraId="024173DD" w14:textId="77777777" w:rsidTr="007C5EBB">
        <w:trPr>
          <w:cantSplit/>
          <w:trHeight w:val="612"/>
          <w:jc w:val="center"/>
        </w:trPr>
        <w:tc>
          <w:tcPr>
            <w:tcW w:w="6804" w:type="dxa"/>
            <w:tcBorders>
              <w:top w:val="single" w:sz="4" w:space="0" w:color="auto"/>
              <w:left w:val="nil"/>
              <w:bottom w:val="single" w:sz="4" w:space="0" w:color="auto"/>
            </w:tcBorders>
          </w:tcPr>
          <w:p w14:paraId="3B7F47E4" w14:textId="77777777" w:rsidR="009C2C94" w:rsidRPr="001B59CB" w:rsidRDefault="009C2C94" w:rsidP="007C5EBB">
            <w:pPr>
              <w:pStyle w:val="PSITablaD"/>
              <w:jc w:val="both"/>
              <w:rPr>
                <w:i/>
                <w:sz w:val="22"/>
                <w:szCs w:val="22"/>
              </w:rPr>
            </w:pPr>
            <w:r w:rsidRPr="001B59CB">
              <w:rPr>
                <w:i/>
                <w:sz w:val="22"/>
                <w:szCs w:val="22"/>
              </w:rPr>
              <w:t>Categoría: clima de aprendizaje y convivencia</w:t>
            </w:r>
          </w:p>
          <w:p w14:paraId="1CF5C46E" w14:textId="77777777" w:rsidR="009C2C94" w:rsidRPr="001B59CB" w:rsidRDefault="00E553AE" w:rsidP="007C5EBB">
            <w:pPr>
              <w:pStyle w:val="PSITablaD"/>
              <w:ind w:left="458"/>
              <w:jc w:val="both"/>
              <w:rPr>
                <w:sz w:val="22"/>
                <w:szCs w:val="22"/>
              </w:rPr>
            </w:pPr>
            <w:r>
              <w:rPr>
                <w:sz w:val="22"/>
                <w:szCs w:val="22"/>
              </w:rPr>
              <w:t xml:space="preserve">11. </w:t>
            </w:r>
            <w:r w:rsidR="009C2C94" w:rsidRPr="001B59CB">
              <w:rPr>
                <w:sz w:val="22"/>
                <w:szCs w:val="22"/>
              </w:rPr>
              <w:t>Dominar destrezas</w:t>
            </w:r>
            <w:r w:rsidR="009C2C94">
              <w:rPr>
                <w:sz w:val="22"/>
                <w:szCs w:val="22"/>
              </w:rPr>
              <w:t xml:space="preserve"> </w:t>
            </w:r>
            <w:r w:rsidR="009C2C94" w:rsidRPr="001B59CB">
              <w:rPr>
                <w:sz w:val="22"/>
                <w:szCs w:val="22"/>
              </w:rPr>
              <w:t xml:space="preserve">para fomentar </w:t>
            </w:r>
            <w:r w:rsidR="009C2C94">
              <w:rPr>
                <w:sz w:val="22"/>
                <w:szCs w:val="22"/>
              </w:rPr>
              <w:t xml:space="preserve">el </w:t>
            </w:r>
            <w:r w:rsidR="009C2C94" w:rsidRPr="001B59CB">
              <w:rPr>
                <w:sz w:val="22"/>
                <w:szCs w:val="22"/>
              </w:rPr>
              <w:t xml:space="preserve">aprendizaje y </w:t>
            </w:r>
            <w:r w:rsidR="009C2C94">
              <w:rPr>
                <w:sz w:val="22"/>
                <w:szCs w:val="22"/>
              </w:rPr>
              <w:t xml:space="preserve">la </w:t>
            </w:r>
            <w:r w:rsidR="009C2C94" w:rsidRPr="001B59CB">
              <w:rPr>
                <w:sz w:val="22"/>
                <w:szCs w:val="22"/>
              </w:rPr>
              <w:t>convivencia</w:t>
            </w:r>
          </w:p>
          <w:p w14:paraId="1B7D7832" w14:textId="77777777" w:rsidR="009C2C94" w:rsidRPr="001B59CB" w:rsidRDefault="00E553AE" w:rsidP="007C5EBB">
            <w:pPr>
              <w:pStyle w:val="PSITablaD"/>
              <w:ind w:left="458"/>
              <w:jc w:val="both"/>
              <w:rPr>
                <w:sz w:val="22"/>
                <w:szCs w:val="22"/>
              </w:rPr>
            </w:pPr>
            <w:r>
              <w:rPr>
                <w:sz w:val="22"/>
                <w:szCs w:val="22"/>
              </w:rPr>
              <w:t xml:space="preserve">12. </w:t>
            </w:r>
            <w:r w:rsidR="009C2C94" w:rsidRPr="001B59CB">
              <w:rPr>
                <w:sz w:val="22"/>
                <w:szCs w:val="22"/>
              </w:rPr>
              <w:t xml:space="preserve">Fomentar un clima </w:t>
            </w:r>
            <w:r w:rsidR="009C2C94">
              <w:rPr>
                <w:sz w:val="22"/>
                <w:szCs w:val="22"/>
              </w:rPr>
              <w:t>para</w:t>
            </w:r>
            <w:r w:rsidR="009C2C94" w:rsidRPr="001B59CB">
              <w:rPr>
                <w:sz w:val="22"/>
                <w:szCs w:val="22"/>
              </w:rPr>
              <w:t xml:space="preserve"> </w:t>
            </w:r>
            <w:r>
              <w:rPr>
                <w:sz w:val="22"/>
                <w:szCs w:val="22"/>
              </w:rPr>
              <w:t xml:space="preserve">el </w:t>
            </w:r>
            <w:r w:rsidR="009C2C94" w:rsidRPr="001B59CB">
              <w:rPr>
                <w:sz w:val="22"/>
                <w:szCs w:val="22"/>
              </w:rPr>
              <w:t xml:space="preserve">aprendizaje y </w:t>
            </w:r>
            <w:r w:rsidR="009C2C94">
              <w:rPr>
                <w:sz w:val="22"/>
                <w:szCs w:val="22"/>
              </w:rPr>
              <w:t>puesta en valor de</w:t>
            </w:r>
            <w:r w:rsidR="009C2C94" w:rsidRPr="001B59CB">
              <w:rPr>
                <w:sz w:val="22"/>
                <w:szCs w:val="22"/>
              </w:rPr>
              <w:t xml:space="preserve"> </w:t>
            </w:r>
            <w:r>
              <w:rPr>
                <w:sz w:val="22"/>
                <w:szCs w:val="22"/>
              </w:rPr>
              <w:t xml:space="preserve">las </w:t>
            </w:r>
            <w:r w:rsidR="009C2C94">
              <w:rPr>
                <w:sz w:val="22"/>
                <w:szCs w:val="22"/>
              </w:rPr>
              <w:t>aportaciones</w:t>
            </w:r>
            <w:r>
              <w:rPr>
                <w:sz w:val="22"/>
                <w:szCs w:val="22"/>
              </w:rPr>
              <w:t xml:space="preserve"> de los estudiantes</w:t>
            </w:r>
          </w:p>
          <w:p w14:paraId="3778CD89" w14:textId="77777777" w:rsidR="009C2C94" w:rsidRPr="001B59CB" w:rsidRDefault="009C2C94" w:rsidP="007C5EBB">
            <w:pPr>
              <w:pStyle w:val="PSITablaD"/>
              <w:ind w:left="720"/>
              <w:jc w:val="both"/>
              <w:rPr>
                <w:i/>
                <w:sz w:val="22"/>
                <w:szCs w:val="22"/>
              </w:rPr>
            </w:pPr>
          </w:p>
        </w:tc>
        <w:tc>
          <w:tcPr>
            <w:tcW w:w="1204" w:type="dxa"/>
            <w:tcBorders>
              <w:top w:val="single" w:sz="4" w:space="0" w:color="auto"/>
              <w:bottom w:val="single" w:sz="4" w:space="0" w:color="auto"/>
            </w:tcBorders>
          </w:tcPr>
          <w:p w14:paraId="3071E387" w14:textId="77777777" w:rsidR="009C2C94" w:rsidRPr="00F929BB" w:rsidRDefault="009C2C94" w:rsidP="007C5EBB">
            <w:pPr>
              <w:pStyle w:val="PSITablaD"/>
              <w:rPr>
                <w:sz w:val="22"/>
                <w:szCs w:val="22"/>
              </w:rPr>
            </w:pPr>
          </w:p>
          <w:p w14:paraId="1C3274F5" w14:textId="77777777" w:rsidR="009C2C94" w:rsidRDefault="009C2C94" w:rsidP="007C5EBB">
            <w:pPr>
              <w:pStyle w:val="PSITablaD"/>
              <w:rPr>
                <w:sz w:val="22"/>
                <w:szCs w:val="22"/>
              </w:rPr>
            </w:pPr>
            <w:r>
              <w:rPr>
                <w:sz w:val="22"/>
                <w:szCs w:val="22"/>
              </w:rPr>
              <w:t>3.39</w:t>
            </w:r>
          </w:p>
          <w:p w14:paraId="56BD9659" w14:textId="77777777" w:rsidR="009C2C94" w:rsidRPr="00F929BB" w:rsidRDefault="009C2C94" w:rsidP="007C5EBB">
            <w:pPr>
              <w:pStyle w:val="PSITablaD"/>
              <w:rPr>
                <w:sz w:val="22"/>
                <w:szCs w:val="22"/>
              </w:rPr>
            </w:pPr>
            <w:r>
              <w:rPr>
                <w:sz w:val="22"/>
                <w:szCs w:val="22"/>
              </w:rPr>
              <w:t>3.59</w:t>
            </w:r>
          </w:p>
        </w:tc>
        <w:tc>
          <w:tcPr>
            <w:tcW w:w="1205" w:type="dxa"/>
            <w:tcBorders>
              <w:top w:val="single" w:sz="4" w:space="0" w:color="auto"/>
              <w:bottom w:val="single" w:sz="4" w:space="0" w:color="auto"/>
            </w:tcBorders>
          </w:tcPr>
          <w:p w14:paraId="423DA8C7" w14:textId="77777777" w:rsidR="009C2C94" w:rsidRPr="00F929BB" w:rsidRDefault="009C2C94" w:rsidP="007C5EBB">
            <w:pPr>
              <w:pStyle w:val="PSITablaD"/>
              <w:rPr>
                <w:sz w:val="22"/>
                <w:szCs w:val="22"/>
              </w:rPr>
            </w:pPr>
          </w:p>
          <w:p w14:paraId="5280A8F8" w14:textId="77777777" w:rsidR="009C2C94" w:rsidRDefault="009C2C94" w:rsidP="007C5EBB">
            <w:pPr>
              <w:pStyle w:val="PSITablaD"/>
              <w:rPr>
                <w:sz w:val="22"/>
                <w:szCs w:val="22"/>
              </w:rPr>
            </w:pPr>
            <w:r>
              <w:rPr>
                <w:sz w:val="22"/>
                <w:szCs w:val="22"/>
              </w:rPr>
              <w:t>4.53</w:t>
            </w:r>
          </w:p>
          <w:p w14:paraId="2CDF014B" w14:textId="77777777" w:rsidR="009C2C94" w:rsidRPr="00F929BB" w:rsidRDefault="009C2C94" w:rsidP="007C5EBB">
            <w:pPr>
              <w:pStyle w:val="PSITablaD"/>
              <w:rPr>
                <w:sz w:val="22"/>
                <w:szCs w:val="22"/>
              </w:rPr>
            </w:pPr>
            <w:r>
              <w:rPr>
                <w:sz w:val="22"/>
                <w:szCs w:val="22"/>
              </w:rPr>
              <w:t>4.52</w:t>
            </w:r>
          </w:p>
        </w:tc>
      </w:tr>
      <w:tr w:rsidR="009C2C94" w:rsidRPr="00FA09D0" w14:paraId="3367BC83" w14:textId="77777777" w:rsidTr="007C5EBB">
        <w:trPr>
          <w:cantSplit/>
          <w:trHeight w:val="964"/>
          <w:jc w:val="center"/>
        </w:trPr>
        <w:tc>
          <w:tcPr>
            <w:tcW w:w="6804" w:type="dxa"/>
            <w:tcBorders>
              <w:top w:val="single" w:sz="4" w:space="0" w:color="auto"/>
              <w:left w:val="nil"/>
              <w:bottom w:val="single" w:sz="4" w:space="0" w:color="auto"/>
            </w:tcBorders>
          </w:tcPr>
          <w:p w14:paraId="2406A20E" w14:textId="77777777" w:rsidR="009C2C94" w:rsidRPr="001B59CB" w:rsidRDefault="009C2C94" w:rsidP="007C5EBB">
            <w:pPr>
              <w:pStyle w:val="PSITablaD"/>
              <w:jc w:val="both"/>
              <w:rPr>
                <w:i/>
                <w:sz w:val="22"/>
                <w:szCs w:val="22"/>
              </w:rPr>
            </w:pPr>
            <w:r w:rsidRPr="001B59CB">
              <w:rPr>
                <w:i/>
                <w:sz w:val="22"/>
                <w:szCs w:val="22"/>
              </w:rPr>
              <w:t>Categoría: aspectos ligados a la comunicación</w:t>
            </w:r>
          </w:p>
          <w:p w14:paraId="2D83B27B" w14:textId="77777777" w:rsidR="009C2C94" w:rsidRPr="001B59CB" w:rsidRDefault="00E553AE" w:rsidP="007C5EBB">
            <w:pPr>
              <w:pStyle w:val="PSITablaD"/>
              <w:ind w:left="458"/>
              <w:jc w:val="both"/>
              <w:rPr>
                <w:sz w:val="22"/>
                <w:szCs w:val="22"/>
              </w:rPr>
            </w:pPr>
            <w:r>
              <w:rPr>
                <w:sz w:val="22"/>
                <w:szCs w:val="22"/>
              </w:rPr>
              <w:t xml:space="preserve">13. </w:t>
            </w:r>
            <w:r w:rsidR="009C2C94" w:rsidRPr="001B59CB">
              <w:rPr>
                <w:sz w:val="22"/>
                <w:szCs w:val="22"/>
              </w:rPr>
              <w:t>Acreditar un dominio de la expresión oral y escrita</w:t>
            </w:r>
            <w:r w:rsidR="009C2C94">
              <w:rPr>
                <w:sz w:val="22"/>
                <w:szCs w:val="22"/>
              </w:rPr>
              <w:t xml:space="preserve"> en la docencia</w:t>
            </w:r>
          </w:p>
          <w:p w14:paraId="3062D66D" w14:textId="77777777" w:rsidR="009C2C94" w:rsidRPr="001B59CB" w:rsidRDefault="00E553AE" w:rsidP="007C5EBB">
            <w:pPr>
              <w:pStyle w:val="PSITablaD"/>
              <w:ind w:left="458"/>
              <w:jc w:val="both"/>
              <w:rPr>
                <w:sz w:val="22"/>
                <w:szCs w:val="22"/>
              </w:rPr>
            </w:pPr>
            <w:r>
              <w:rPr>
                <w:sz w:val="22"/>
                <w:szCs w:val="22"/>
              </w:rPr>
              <w:t xml:space="preserve">14. </w:t>
            </w:r>
            <w:r w:rsidR="009C2C94" w:rsidRPr="001B59CB">
              <w:rPr>
                <w:sz w:val="22"/>
                <w:szCs w:val="22"/>
              </w:rPr>
              <w:t>Desarrollar procesos de interacción y de comunicación</w:t>
            </w:r>
            <w:r w:rsidR="009C2C94">
              <w:rPr>
                <w:sz w:val="22"/>
                <w:szCs w:val="22"/>
              </w:rPr>
              <w:t xml:space="preserve"> efectiva</w:t>
            </w:r>
          </w:p>
          <w:p w14:paraId="5AC8E0D9" w14:textId="77777777" w:rsidR="009C2C94" w:rsidRPr="001B59CB" w:rsidRDefault="009C2C94" w:rsidP="007C5EBB">
            <w:pPr>
              <w:pStyle w:val="PSITablaD"/>
              <w:ind w:left="720"/>
              <w:jc w:val="both"/>
              <w:rPr>
                <w:i/>
                <w:sz w:val="22"/>
                <w:szCs w:val="22"/>
              </w:rPr>
            </w:pPr>
          </w:p>
        </w:tc>
        <w:tc>
          <w:tcPr>
            <w:tcW w:w="1204" w:type="dxa"/>
            <w:tcBorders>
              <w:top w:val="single" w:sz="4" w:space="0" w:color="auto"/>
              <w:bottom w:val="single" w:sz="4" w:space="0" w:color="auto"/>
            </w:tcBorders>
          </w:tcPr>
          <w:p w14:paraId="6766C916" w14:textId="77777777" w:rsidR="009C2C94" w:rsidRPr="00F929BB" w:rsidRDefault="009C2C94" w:rsidP="007C5EBB">
            <w:pPr>
              <w:pStyle w:val="PSITablaD"/>
              <w:rPr>
                <w:sz w:val="22"/>
                <w:szCs w:val="22"/>
              </w:rPr>
            </w:pPr>
          </w:p>
          <w:p w14:paraId="6D3D2C2D" w14:textId="77777777" w:rsidR="009C2C94" w:rsidRDefault="009C2C94" w:rsidP="007C5EBB">
            <w:pPr>
              <w:pStyle w:val="PSITablaD"/>
              <w:rPr>
                <w:sz w:val="22"/>
                <w:szCs w:val="22"/>
              </w:rPr>
            </w:pPr>
            <w:r>
              <w:rPr>
                <w:sz w:val="22"/>
                <w:szCs w:val="22"/>
              </w:rPr>
              <w:t>3.61</w:t>
            </w:r>
          </w:p>
          <w:p w14:paraId="5ED4BCB9" w14:textId="77777777" w:rsidR="009C2C94" w:rsidRPr="00F929BB" w:rsidRDefault="009C2C94" w:rsidP="007C5EBB">
            <w:pPr>
              <w:pStyle w:val="PSITablaD"/>
              <w:rPr>
                <w:sz w:val="22"/>
                <w:szCs w:val="22"/>
              </w:rPr>
            </w:pPr>
            <w:r>
              <w:rPr>
                <w:sz w:val="22"/>
                <w:szCs w:val="22"/>
              </w:rPr>
              <w:t>3.50</w:t>
            </w:r>
          </w:p>
        </w:tc>
        <w:tc>
          <w:tcPr>
            <w:tcW w:w="1205" w:type="dxa"/>
            <w:tcBorders>
              <w:top w:val="single" w:sz="4" w:space="0" w:color="auto"/>
              <w:bottom w:val="single" w:sz="4" w:space="0" w:color="auto"/>
            </w:tcBorders>
          </w:tcPr>
          <w:p w14:paraId="2258E125" w14:textId="77777777" w:rsidR="009C2C94" w:rsidRPr="00F929BB" w:rsidRDefault="009C2C94" w:rsidP="007C5EBB">
            <w:pPr>
              <w:pStyle w:val="PSITablaD"/>
              <w:rPr>
                <w:sz w:val="22"/>
                <w:szCs w:val="22"/>
              </w:rPr>
            </w:pPr>
          </w:p>
          <w:p w14:paraId="46C21D69" w14:textId="77777777" w:rsidR="009C2C94" w:rsidRDefault="009C2C94" w:rsidP="007C5EBB">
            <w:pPr>
              <w:pStyle w:val="PSITablaD"/>
              <w:rPr>
                <w:sz w:val="22"/>
                <w:szCs w:val="22"/>
              </w:rPr>
            </w:pPr>
            <w:r>
              <w:rPr>
                <w:sz w:val="22"/>
                <w:szCs w:val="22"/>
              </w:rPr>
              <w:t>4.77</w:t>
            </w:r>
          </w:p>
          <w:p w14:paraId="1FEF1E3D" w14:textId="77777777" w:rsidR="009C2C94" w:rsidRPr="00F929BB" w:rsidRDefault="009C2C94" w:rsidP="007C5EBB">
            <w:pPr>
              <w:pStyle w:val="PSITablaD"/>
              <w:rPr>
                <w:sz w:val="22"/>
                <w:szCs w:val="22"/>
              </w:rPr>
            </w:pPr>
            <w:r>
              <w:rPr>
                <w:sz w:val="22"/>
                <w:szCs w:val="22"/>
              </w:rPr>
              <w:t>4.44</w:t>
            </w:r>
          </w:p>
        </w:tc>
      </w:tr>
      <w:tr w:rsidR="009C2C94" w:rsidRPr="001B59CB" w14:paraId="4C1C4E13" w14:textId="77777777" w:rsidTr="007C5EBB">
        <w:trPr>
          <w:cantSplit/>
          <w:trHeight w:val="964"/>
          <w:jc w:val="center"/>
        </w:trPr>
        <w:tc>
          <w:tcPr>
            <w:tcW w:w="6804" w:type="dxa"/>
            <w:tcBorders>
              <w:top w:val="single" w:sz="4" w:space="0" w:color="auto"/>
              <w:left w:val="nil"/>
              <w:bottom w:val="single" w:sz="4" w:space="0" w:color="auto"/>
            </w:tcBorders>
          </w:tcPr>
          <w:p w14:paraId="2DB7C9D4" w14:textId="77777777" w:rsidR="009C2C94" w:rsidRPr="001B59CB" w:rsidRDefault="00FF0AA4" w:rsidP="007C5EBB">
            <w:pPr>
              <w:pStyle w:val="PSITablaD"/>
              <w:jc w:val="both"/>
              <w:rPr>
                <w:i/>
                <w:sz w:val="22"/>
                <w:szCs w:val="22"/>
              </w:rPr>
            </w:pPr>
            <w:r>
              <w:rPr>
                <w:i/>
                <w:sz w:val="22"/>
                <w:szCs w:val="22"/>
              </w:rPr>
              <w:t>Categoría: aspectos organizativos</w:t>
            </w:r>
          </w:p>
          <w:p w14:paraId="7EC6947E" w14:textId="77777777" w:rsidR="009C2C94" w:rsidRPr="001B59CB" w:rsidRDefault="00E553AE" w:rsidP="007C5EBB">
            <w:pPr>
              <w:pStyle w:val="PSITablaD"/>
              <w:ind w:left="458"/>
              <w:jc w:val="both"/>
              <w:rPr>
                <w:sz w:val="22"/>
                <w:szCs w:val="22"/>
              </w:rPr>
            </w:pPr>
            <w:r>
              <w:rPr>
                <w:sz w:val="22"/>
                <w:szCs w:val="22"/>
              </w:rPr>
              <w:t xml:space="preserve">15. </w:t>
            </w:r>
            <w:r w:rsidR="009C2C94" w:rsidRPr="001B59CB">
              <w:rPr>
                <w:sz w:val="22"/>
                <w:szCs w:val="22"/>
              </w:rPr>
              <w:t xml:space="preserve">Contrastar la visión de la enseñanza con </w:t>
            </w:r>
            <w:r w:rsidR="009C2C94">
              <w:rPr>
                <w:sz w:val="22"/>
                <w:szCs w:val="22"/>
              </w:rPr>
              <w:t>profesionales</w:t>
            </w:r>
            <w:r w:rsidR="009C2C94" w:rsidRPr="001B59CB">
              <w:rPr>
                <w:sz w:val="22"/>
                <w:szCs w:val="22"/>
              </w:rPr>
              <w:t xml:space="preserve"> del centro</w:t>
            </w:r>
          </w:p>
          <w:p w14:paraId="233B94BF" w14:textId="77777777" w:rsidR="009C2C94" w:rsidRPr="001B59CB" w:rsidRDefault="00E553AE" w:rsidP="00E553AE">
            <w:pPr>
              <w:pStyle w:val="PSITablaD"/>
              <w:ind w:left="458"/>
              <w:jc w:val="both"/>
              <w:rPr>
                <w:i/>
                <w:sz w:val="22"/>
                <w:szCs w:val="22"/>
              </w:rPr>
            </w:pPr>
            <w:r>
              <w:rPr>
                <w:sz w:val="22"/>
                <w:szCs w:val="22"/>
              </w:rPr>
              <w:t xml:space="preserve">16. </w:t>
            </w:r>
            <w:r w:rsidRPr="001B59CB">
              <w:rPr>
                <w:sz w:val="22"/>
                <w:szCs w:val="22"/>
              </w:rPr>
              <w:t xml:space="preserve">Valorar el papel de la cultura organizativa </w:t>
            </w:r>
            <w:r>
              <w:rPr>
                <w:sz w:val="22"/>
                <w:szCs w:val="22"/>
              </w:rPr>
              <w:t>y funciones del</w:t>
            </w:r>
            <w:r w:rsidRPr="001B59CB">
              <w:rPr>
                <w:sz w:val="22"/>
                <w:szCs w:val="22"/>
              </w:rPr>
              <w:t xml:space="preserve"> centro</w:t>
            </w:r>
          </w:p>
        </w:tc>
        <w:tc>
          <w:tcPr>
            <w:tcW w:w="1204" w:type="dxa"/>
            <w:tcBorders>
              <w:top w:val="single" w:sz="4" w:space="0" w:color="auto"/>
              <w:bottom w:val="single" w:sz="4" w:space="0" w:color="auto"/>
            </w:tcBorders>
          </w:tcPr>
          <w:p w14:paraId="3FC61750" w14:textId="77777777" w:rsidR="009C2C94" w:rsidRDefault="009C2C94" w:rsidP="007C5EBB">
            <w:pPr>
              <w:pStyle w:val="PSITablaD"/>
              <w:rPr>
                <w:sz w:val="22"/>
                <w:szCs w:val="22"/>
              </w:rPr>
            </w:pPr>
          </w:p>
          <w:p w14:paraId="2D792D2F" w14:textId="77777777" w:rsidR="00E553AE" w:rsidRDefault="00E553AE" w:rsidP="007C5EBB">
            <w:pPr>
              <w:pStyle w:val="PSITablaD"/>
              <w:rPr>
                <w:sz w:val="22"/>
                <w:szCs w:val="22"/>
              </w:rPr>
            </w:pPr>
            <w:r>
              <w:rPr>
                <w:sz w:val="22"/>
                <w:szCs w:val="22"/>
              </w:rPr>
              <w:t>3.24</w:t>
            </w:r>
          </w:p>
          <w:p w14:paraId="1CC724BD" w14:textId="77777777" w:rsidR="009C2C94" w:rsidRDefault="009C2C94" w:rsidP="007C5EBB">
            <w:pPr>
              <w:pStyle w:val="PSITablaD"/>
              <w:rPr>
                <w:sz w:val="22"/>
                <w:szCs w:val="22"/>
              </w:rPr>
            </w:pPr>
            <w:r>
              <w:rPr>
                <w:sz w:val="22"/>
                <w:szCs w:val="22"/>
              </w:rPr>
              <w:t>3.48</w:t>
            </w:r>
          </w:p>
          <w:p w14:paraId="1ED93723" w14:textId="77777777" w:rsidR="009C2C94" w:rsidRPr="00F929BB" w:rsidRDefault="009C2C94" w:rsidP="007C5EBB">
            <w:pPr>
              <w:pStyle w:val="PSITablaD"/>
              <w:rPr>
                <w:sz w:val="22"/>
                <w:szCs w:val="22"/>
              </w:rPr>
            </w:pPr>
          </w:p>
        </w:tc>
        <w:tc>
          <w:tcPr>
            <w:tcW w:w="1205" w:type="dxa"/>
            <w:tcBorders>
              <w:top w:val="single" w:sz="4" w:space="0" w:color="auto"/>
              <w:bottom w:val="single" w:sz="4" w:space="0" w:color="auto"/>
            </w:tcBorders>
          </w:tcPr>
          <w:p w14:paraId="0E24F057" w14:textId="77777777" w:rsidR="009C2C94" w:rsidRDefault="009C2C94" w:rsidP="007C5EBB">
            <w:pPr>
              <w:pStyle w:val="PSITablaD"/>
              <w:rPr>
                <w:sz w:val="22"/>
                <w:szCs w:val="22"/>
              </w:rPr>
            </w:pPr>
          </w:p>
          <w:p w14:paraId="3A24FD0B" w14:textId="77777777" w:rsidR="00E553AE" w:rsidRDefault="00E553AE" w:rsidP="007C5EBB">
            <w:pPr>
              <w:pStyle w:val="PSITablaD"/>
              <w:rPr>
                <w:sz w:val="22"/>
                <w:szCs w:val="22"/>
              </w:rPr>
            </w:pPr>
            <w:r>
              <w:rPr>
                <w:sz w:val="22"/>
                <w:szCs w:val="22"/>
              </w:rPr>
              <w:t>3.95</w:t>
            </w:r>
          </w:p>
          <w:p w14:paraId="380C54C1" w14:textId="77777777" w:rsidR="009C2C94" w:rsidRPr="00F929BB" w:rsidRDefault="009C2C94" w:rsidP="00E553AE">
            <w:pPr>
              <w:pStyle w:val="PSITablaD"/>
              <w:rPr>
                <w:sz w:val="22"/>
                <w:szCs w:val="22"/>
              </w:rPr>
            </w:pPr>
            <w:r>
              <w:rPr>
                <w:sz w:val="22"/>
                <w:szCs w:val="22"/>
              </w:rPr>
              <w:t>3.76</w:t>
            </w:r>
          </w:p>
        </w:tc>
      </w:tr>
    </w:tbl>
    <w:p w14:paraId="74EC0032" w14:textId="77777777" w:rsidR="00061692" w:rsidRPr="009C2C94" w:rsidRDefault="009C2C94" w:rsidP="009C2C94">
      <w:pPr>
        <w:pStyle w:val="Piedegrficooimagen"/>
        <w:spacing w:before="0" w:after="0"/>
        <w:ind w:left="284" w:right="275"/>
        <w:rPr>
          <w:lang w:val="es-ES_tradnl"/>
        </w:rPr>
      </w:pPr>
      <w:r w:rsidRPr="00B25373">
        <w:rPr>
          <w:i/>
          <w:lang w:val="es-ES_tradnl"/>
        </w:rPr>
        <w:t>Nota</w:t>
      </w:r>
      <w:r>
        <w:rPr>
          <w:lang w:val="es-ES_tradnl"/>
        </w:rPr>
        <w:t xml:space="preserve">. </w:t>
      </w:r>
      <w:r w:rsidRPr="00F929BB">
        <w:rPr>
          <w:i/>
          <w:lang w:val="es-ES_tradnl"/>
        </w:rPr>
        <w:t>M</w:t>
      </w:r>
      <w:r>
        <w:rPr>
          <w:lang w:val="es-ES_tradnl"/>
        </w:rPr>
        <w:t xml:space="preserve"> = media. Escala utilizada: 1: ningún dominio / ninguna importancia; 5: completo dominio / mucha importancia.</w:t>
      </w:r>
    </w:p>
    <w:p w14:paraId="1CD08171" w14:textId="77777777" w:rsidR="00061692" w:rsidRDefault="00061692" w:rsidP="00E10F0E">
      <w:pPr>
        <w:pStyle w:val="TextoNormal"/>
      </w:pPr>
    </w:p>
    <w:p w14:paraId="06028886" w14:textId="77777777" w:rsidR="007F729F" w:rsidRDefault="007F729F" w:rsidP="007F729F">
      <w:pPr>
        <w:pStyle w:val="TextoNormal"/>
        <w:rPr>
          <w:lang w:val="es-ES"/>
        </w:rPr>
      </w:pPr>
      <w:r>
        <w:t>De igual modo, los resultados relativos a la importancia dada por los profesores en formación a las diversas competencias docentes permiten detectar otros aspectos en común con estudios previos</w:t>
      </w:r>
      <w:r>
        <w:rPr>
          <w:lang w:val="es-ES"/>
        </w:rPr>
        <w:t xml:space="preserve">. </w:t>
      </w:r>
      <w:r>
        <w:t xml:space="preserve">Desde una visión de conjunto, queda patente que, situándose en último lugar aquellos ítems relacionados con la categoría que agrupa los diferentes </w:t>
      </w:r>
      <w:r>
        <w:rPr>
          <w:i/>
        </w:rPr>
        <w:t>aspectos organizativos</w:t>
      </w:r>
      <w:r>
        <w:t xml:space="preserve"> de la enseñanza, corroborando resultados obtenidos por Serrano y Pontes (2017) en su investigación. Esto también se encuentra</w:t>
      </w:r>
      <w:r>
        <w:rPr>
          <w:lang w:val="es-ES"/>
        </w:rPr>
        <w:t xml:space="preserve"> en línea </w:t>
      </w:r>
      <w:r>
        <w:t xml:space="preserve">con la investigación llevada a cabo por </w:t>
      </w:r>
      <w:r>
        <w:rPr>
          <w:lang w:val="es-ES"/>
        </w:rPr>
        <w:t>Sola et al. (</w:t>
      </w:r>
      <w:r w:rsidRPr="007E2A5E">
        <w:rPr>
          <w:lang w:val="es-ES"/>
        </w:rPr>
        <w:t>2020</w:t>
      </w:r>
      <w:r>
        <w:rPr>
          <w:lang w:val="es-ES"/>
        </w:rPr>
        <w:t>), donde, a su vez, se refleja que los docentes en formación de la Universidad de Granada que participaron en dicho estudio, también daban una menos importancia a aquellas competencias relacionadas con la normativa y la organización institucional.</w:t>
      </w:r>
    </w:p>
    <w:p w14:paraId="2A3C2033" w14:textId="77777777" w:rsidR="007C1005" w:rsidRDefault="007C1005" w:rsidP="007C1005">
      <w:pPr>
        <w:pStyle w:val="Indicador2"/>
        <w:rPr>
          <w:b/>
        </w:rPr>
      </w:pPr>
    </w:p>
    <w:p w14:paraId="5FABFBBF" w14:textId="77777777" w:rsidR="007C1005" w:rsidRDefault="00B83DFF" w:rsidP="007C1005">
      <w:pPr>
        <w:pStyle w:val="Encabezado1"/>
        <w:spacing w:before="0" w:after="0"/>
      </w:pPr>
      <w:r>
        <w:t>C</w:t>
      </w:r>
      <w:r w:rsidR="007C1005">
        <w:t>onclusiones</w:t>
      </w:r>
    </w:p>
    <w:p w14:paraId="63E5C991" w14:textId="77777777" w:rsidR="007C1005" w:rsidRPr="008E14ED" w:rsidRDefault="007C1005" w:rsidP="007C1005">
      <w:pPr>
        <w:pStyle w:val="Indicador2"/>
        <w:rPr>
          <w:b/>
        </w:rPr>
      </w:pPr>
    </w:p>
    <w:p w14:paraId="0172B132" w14:textId="77777777" w:rsidR="004C0F5F" w:rsidRDefault="004C0F5F" w:rsidP="008B7EC5">
      <w:pPr>
        <w:pStyle w:val="TextoNormal"/>
      </w:pPr>
      <w:r>
        <w:lastRenderedPageBreak/>
        <w:t>Como se ha indicado desde el comienzo de este estudio, el marco formativo basado en el desarrollo de las competencias docentes es una realidad desde hace años, y parece haber llegado para quedarse. Pese al hecho de que las competencias docentes no se desarrollan exclusivamente desde la formación inicial del profesorado, sino que se moldean a través del ejercicio profesional (Pavié, 2011), la orientación asumida por el Máster en Profesor de Secundaria puede llegar a ser fundamental en este proceso.</w:t>
      </w:r>
      <w:r w:rsidR="00646FC5">
        <w:t xml:space="preserve"> De he</w:t>
      </w:r>
      <w:r w:rsidR="00192522">
        <w:t xml:space="preserve">cho, estas trasformaciones </w:t>
      </w:r>
      <w:r w:rsidR="00646FC5">
        <w:t xml:space="preserve">dejan patente que </w:t>
      </w:r>
      <w:r w:rsidR="00C3331B">
        <w:t>la formación inicial del profesorado de Educación Secundaria ha evolucionado de una manera notable, y se ha tratado de adaptar a las nuevas necesidades requeridas por los docentes en formación.</w:t>
      </w:r>
    </w:p>
    <w:p w14:paraId="280485C3" w14:textId="77777777" w:rsidR="008B7EC5" w:rsidRDefault="004C0F5F" w:rsidP="008B7EC5">
      <w:pPr>
        <w:pStyle w:val="TextoNormal"/>
      </w:pPr>
      <w:r>
        <w:t>Tras el análisis de los resultados obtenidos en esta investigación</w:t>
      </w:r>
      <w:r w:rsidR="00C3331B">
        <w:t>,</w:t>
      </w:r>
      <w:r>
        <w:t xml:space="preserve"> y su discusión</w:t>
      </w:r>
      <w:r w:rsidR="00C3331B">
        <w:t xml:space="preserve"> y puesta en relación con estudios previos, se desprende que el examen de las competencias docentes puede ser relevante para comprender las percepciones de los docentes en formación, pero también para informar posibles mejoras o transformaciones en el modelo formativo. De hecho, este estudio nace del hecho de que, pese a que las competencias docentes han sido analizadas en profundidad en estudios de carácter general (</w:t>
      </w:r>
      <w:r w:rsidR="00C3331B" w:rsidRPr="007E2A5E">
        <w:rPr>
          <w:lang w:val="es-ES"/>
        </w:rPr>
        <w:t>Buendía et al</w:t>
      </w:r>
      <w:r w:rsidR="00C3331B">
        <w:rPr>
          <w:lang w:val="es-ES"/>
        </w:rPr>
        <w:t xml:space="preserve">., 2011, </w:t>
      </w:r>
      <w:r w:rsidR="00C3331B" w:rsidRPr="00D211C4">
        <w:rPr>
          <w:lang w:val="es-ES"/>
        </w:rPr>
        <w:t>Cano</w:t>
      </w:r>
      <w:r w:rsidR="00C3331B">
        <w:rPr>
          <w:lang w:val="es-ES"/>
        </w:rPr>
        <w:t xml:space="preserve"> et al., 2012; Sarceda-Gorgoso et al., 2020</w:t>
      </w:r>
      <w:r w:rsidR="00C3331B">
        <w:t xml:space="preserve">, por nombrar algunos) o pese a que, ya dentro de la especialidad de </w:t>
      </w:r>
      <w:r w:rsidR="00C3331B" w:rsidRPr="00A8776B">
        <w:rPr>
          <w:i/>
        </w:rPr>
        <w:t>Geografía e Historia</w:t>
      </w:r>
      <w:r w:rsidR="00C3331B">
        <w:t xml:space="preserve"> del MUPES, el Prácticum ha sido examinado desde diversos puntos de vista (Moner Mora y Oller i Freixa, 2014; </w:t>
      </w:r>
      <w:r w:rsidR="00C3331B">
        <w:rPr>
          <w:lang w:val="es-ES"/>
        </w:rPr>
        <w:t>Madela Calvo et al., 2020, por ejemplo)</w:t>
      </w:r>
      <w:r w:rsidR="00C3331B">
        <w:t xml:space="preserve">, era necesario un examen empírico en profundidad que </w:t>
      </w:r>
      <w:r w:rsidR="00192522">
        <w:t>aunara</w:t>
      </w:r>
      <w:r w:rsidR="00C3331B">
        <w:t xml:space="preserve"> estos tres factores.</w:t>
      </w:r>
    </w:p>
    <w:p w14:paraId="508C3EF7" w14:textId="77925059" w:rsidR="00750E50" w:rsidRDefault="00C3331B" w:rsidP="00750E50">
      <w:pPr>
        <w:pStyle w:val="TextoNormal"/>
        <w:rPr>
          <w:lang w:val="es-ES"/>
        </w:rPr>
      </w:pPr>
      <w:r>
        <w:t xml:space="preserve">Atendiendo a los datos obtenidos aquí, son varios los aspectos a </w:t>
      </w:r>
      <w:r w:rsidR="00A7398A">
        <w:t>sintetizar</w:t>
      </w:r>
      <w:r>
        <w:t xml:space="preserve"> y que merecen la pena ser comentados. Por un lado, </w:t>
      </w:r>
      <w:r w:rsidR="00750E50">
        <w:t xml:space="preserve">y </w:t>
      </w:r>
      <w:r w:rsidR="004E61F3">
        <w:rPr>
          <w:lang w:val="es-ES"/>
        </w:rPr>
        <w:t>tras</w:t>
      </w:r>
      <w:r w:rsidR="005A66FA">
        <w:rPr>
          <w:lang w:val="es-ES"/>
        </w:rPr>
        <w:t xml:space="preserve"> observar las categorías presentadas en </w:t>
      </w:r>
      <w:r w:rsidR="00750E50">
        <w:rPr>
          <w:lang w:val="es-ES"/>
        </w:rPr>
        <w:t xml:space="preserve">las </w:t>
      </w:r>
      <w:r w:rsidR="005A66FA">
        <w:rPr>
          <w:lang w:val="es-ES"/>
        </w:rPr>
        <w:t>tablas</w:t>
      </w:r>
      <w:r w:rsidR="00750E50">
        <w:rPr>
          <w:lang w:val="es-ES"/>
        </w:rPr>
        <w:t xml:space="preserve"> en las que se establece una categorización</w:t>
      </w:r>
      <w:r w:rsidR="005A66FA">
        <w:rPr>
          <w:lang w:val="es-ES"/>
        </w:rPr>
        <w:t>, parece claro que los docentes en formación valoran de manera destacada todas las competencias presentada</w:t>
      </w:r>
      <w:r w:rsidR="00C10B1A">
        <w:rPr>
          <w:lang w:val="es-ES"/>
        </w:rPr>
        <w:t>s. T</w:t>
      </w:r>
      <w:r w:rsidR="005A66FA">
        <w:rPr>
          <w:lang w:val="es-ES"/>
        </w:rPr>
        <w:t>ambién se evidencia</w:t>
      </w:r>
      <w:r w:rsidR="00C10B1A">
        <w:rPr>
          <w:lang w:val="es-ES"/>
        </w:rPr>
        <w:t xml:space="preserve"> que las categorías</w:t>
      </w:r>
      <w:r w:rsidR="005A66FA" w:rsidRPr="005A66FA">
        <w:rPr>
          <w:lang w:val="es-ES"/>
        </w:rPr>
        <w:t xml:space="preserve"> </w:t>
      </w:r>
      <w:r w:rsidR="005A66FA" w:rsidRPr="005A66FA">
        <w:rPr>
          <w:i/>
        </w:rPr>
        <w:t xml:space="preserve">gestión del aprendizaje </w:t>
      </w:r>
      <w:r w:rsidR="005A66FA" w:rsidRPr="005A66FA">
        <w:t xml:space="preserve">y </w:t>
      </w:r>
      <w:r w:rsidR="005A66FA" w:rsidRPr="005A66FA">
        <w:rPr>
          <w:i/>
        </w:rPr>
        <w:t>aspectos organizativos</w:t>
      </w:r>
      <w:r w:rsidR="00C10B1A">
        <w:t xml:space="preserve"> son menos valoradas</w:t>
      </w:r>
      <w:r w:rsidR="005A66FA" w:rsidRPr="005A66FA">
        <w:rPr>
          <w:i/>
        </w:rPr>
        <w:t xml:space="preserve"> </w:t>
      </w:r>
      <w:r w:rsidR="005A66FA" w:rsidRPr="005A66FA">
        <w:t>frente al resto.</w:t>
      </w:r>
      <w:r w:rsidR="005A66FA">
        <w:t xml:space="preserve"> Es llamativo que en estas dos categorías también se agrup</w:t>
      </w:r>
      <w:r w:rsidR="00C10B1A">
        <w:t>e</w:t>
      </w:r>
      <w:r w:rsidR="005A66FA">
        <w:t>n algunos de los niveles más bajo</w:t>
      </w:r>
      <w:r w:rsidR="00C10B1A">
        <w:t>s</w:t>
      </w:r>
      <w:r w:rsidR="005A66FA">
        <w:t xml:space="preserve"> de dominio percibido, </w:t>
      </w:r>
      <w:r w:rsidR="00750E50">
        <w:t>aunque</w:t>
      </w:r>
      <w:r w:rsidR="005A66FA">
        <w:t xml:space="preserve"> no de una manera sistemática.</w:t>
      </w:r>
      <w:r w:rsidR="00750E50">
        <w:rPr>
          <w:lang w:val="es-ES"/>
        </w:rPr>
        <w:t xml:space="preserve"> Esto no ocurre exclusivamente en el estudio aquí presentado, sino también en otras investigaciones previamente comentadas y centradas también en el Máster en Profesor de Educación Secundaria (Serrano y Pontes, 2017; Sola et al., </w:t>
      </w:r>
      <w:r w:rsidR="00750E50" w:rsidRPr="007E2A5E">
        <w:rPr>
          <w:lang w:val="es-ES"/>
        </w:rPr>
        <w:t>2020</w:t>
      </w:r>
      <w:r w:rsidR="00750E50">
        <w:rPr>
          <w:lang w:val="es-ES"/>
        </w:rPr>
        <w:t>). Est</w:t>
      </w:r>
      <w:r w:rsidR="004E61F3">
        <w:rPr>
          <w:lang w:val="es-ES"/>
        </w:rPr>
        <w:t>a circunstancia</w:t>
      </w:r>
      <w:r w:rsidR="00750E50">
        <w:rPr>
          <w:lang w:val="es-ES"/>
        </w:rPr>
        <w:t xml:space="preserve"> puede llegar a ser comprendid</w:t>
      </w:r>
      <w:r w:rsidR="004E61F3">
        <w:rPr>
          <w:lang w:val="es-ES"/>
        </w:rPr>
        <w:t>a</w:t>
      </w:r>
      <w:r w:rsidR="00750E50">
        <w:rPr>
          <w:lang w:val="es-ES"/>
        </w:rPr>
        <w:t xml:space="preserve"> si se tiene en cuenta las características del alumnado que se matricula cada año en el MUPES, puesto que los estudios que se han focalizado en este aspecto destacan el hecho de que un porcentaje significativo de estos profesores en formación no llega a adoptar en su totalidad una </w:t>
      </w:r>
      <w:r w:rsidR="00C10B1A">
        <w:rPr>
          <w:lang w:val="es-ES"/>
        </w:rPr>
        <w:t>identidad</w:t>
      </w:r>
      <w:r w:rsidR="00750E50">
        <w:rPr>
          <w:lang w:val="es-ES"/>
        </w:rPr>
        <w:t xml:space="preserve"> docente. Esto puede deberse a que los estudiantes no siempre tienen un completo interés por dedicarse a la docencia, o a que cursan el Máster por muy div</w:t>
      </w:r>
      <w:r w:rsidR="00C10B1A">
        <w:rPr>
          <w:lang w:val="es-ES"/>
        </w:rPr>
        <w:t xml:space="preserve">ersos motivos, a veces ajenos </w:t>
      </w:r>
      <w:r w:rsidR="00750E50">
        <w:rPr>
          <w:lang w:val="es-ES"/>
        </w:rPr>
        <w:t>al perfil requerido, compaginando también estos estudios con otras dedicaciones (</w:t>
      </w:r>
      <w:r w:rsidR="00750E50" w:rsidRPr="00A84778">
        <w:rPr>
          <w:lang w:val="es-ES"/>
        </w:rPr>
        <w:t>Martínez-Fer</w:t>
      </w:r>
      <w:r w:rsidR="00750E50">
        <w:rPr>
          <w:lang w:val="es-ES"/>
        </w:rPr>
        <w:t>reira, Miguel-Revilla</w:t>
      </w:r>
      <w:r w:rsidR="00750E50" w:rsidRPr="00A84778">
        <w:rPr>
          <w:lang w:val="es-ES"/>
        </w:rPr>
        <w:t xml:space="preserve"> </w:t>
      </w:r>
      <w:r w:rsidR="00750E50">
        <w:rPr>
          <w:lang w:val="es-ES"/>
        </w:rPr>
        <w:t>y</w:t>
      </w:r>
      <w:r w:rsidR="00750E50" w:rsidRPr="00A84778">
        <w:rPr>
          <w:lang w:val="es-ES"/>
        </w:rPr>
        <w:t xml:space="preserve"> Sánchez-Agustí</w:t>
      </w:r>
      <w:r w:rsidR="00750E50">
        <w:rPr>
          <w:lang w:val="es-ES"/>
        </w:rPr>
        <w:t xml:space="preserve">, 2021). </w:t>
      </w:r>
    </w:p>
    <w:p w14:paraId="2F5866C1" w14:textId="77777777" w:rsidR="00C3331B" w:rsidRDefault="00750E50" w:rsidP="00664275">
      <w:pPr>
        <w:pStyle w:val="TextoNormal"/>
        <w:rPr>
          <w:lang w:val="es-ES"/>
        </w:rPr>
      </w:pPr>
      <w:r>
        <w:rPr>
          <w:lang w:val="es-ES"/>
        </w:rPr>
        <w:t>Así mismo, y atendiendo a</w:t>
      </w:r>
      <w:r w:rsidR="00664275">
        <w:rPr>
          <w:lang w:val="es-ES"/>
        </w:rPr>
        <w:t xml:space="preserve"> uno de los aspectos aquí analizados, merece la pena </w:t>
      </w:r>
      <w:r w:rsidR="005B291E">
        <w:rPr>
          <w:lang w:val="es-ES"/>
        </w:rPr>
        <w:t>valorar</w:t>
      </w:r>
      <w:r w:rsidR="00664275">
        <w:rPr>
          <w:lang w:val="es-ES"/>
        </w:rPr>
        <w:t xml:space="preserve"> los contrastes detectados a la hora de poner en relación ambas categorías de análisis (importancia y dominio competencial). E</w:t>
      </w:r>
      <w:r w:rsidR="005A66FA">
        <w:rPr>
          <w:lang w:val="es-ES"/>
        </w:rPr>
        <w:t>n</w:t>
      </w:r>
      <w:r w:rsidR="008B7EC5">
        <w:rPr>
          <w:lang w:val="es-ES"/>
        </w:rPr>
        <w:t xml:space="preserve"> el presente estudio desarrollado en la Universidad de Valladolid no parece detectarse una correlación entre los niveles de importancia atribuida y de dominio adquirido de las competencias docentes descritas por los participantes. En otras palabras</w:t>
      </w:r>
      <w:r w:rsidR="005B291E">
        <w:rPr>
          <w:lang w:val="es-ES"/>
        </w:rPr>
        <w:t xml:space="preserve">: </w:t>
      </w:r>
      <w:r w:rsidR="008B7EC5">
        <w:rPr>
          <w:lang w:val="es-ES"/>
        </w:rPr>
        <w:t xml:space="preserve">valoraciones relativamente inferiores del nivel de dominio (ver, por ejemplo, la categoría </w:t>
      </w:r>
      <w:r w:rsidR="008B7EC5">
        <w:rPr>
          <w:i/>
          <w:lang w:val="es-ES"/>
        </w:rPr>
        <w:t>Planificación y evaluación de la enseñanza</w:t>
      </w:r>
      <w:r w:rsidR="008B7EC5">
        <w:rPr>
          <w:lang w:val="es-ES"/>
        </w:rPr>
        <w:t xml:space="preserve">, entre otras) no corresponden con valoraciones también inferiores de la importancia atribuida). </w:t>
      </w:r>
      <w:r w:rsidR="006439E1">
        <w:rPr>
          <w:lang w:val="es-ES"/>
        </w:rPr>
        <w:t xml:space="preserve">Estos datos están en línea con los resultados obtenidos por </w:t>
      </w:r>
      <w:r w:rsidR="006439E1" w:rsidRPr="007E2A5E">
        <w:rPr>
          <w:lang w:val="es-ES"/>
        </w:rPr>
        <w:t>Buendía et al. (2011)</w:t>
      </w:r>
      <w:r w:rsidR="006439E1">
        <w:rPr>
          <w:lang w:val="es-ES"/>
        </w:rPr>
        <w:t>, quienes concluyeron que “no hay correspondencia entre la importancia de la competencia y la formación recibida para conseguirla” (</w:t>
      </w:r>
      <w:r w:rsidR="00A84778">
        <w:rPr>
          <w:lang w:val="es-ES"/>
        </w:rPr>
        <w:t xml:space="preserve">2011, </w:t>
      </w:r>
      <w:r w:rsidR="006439E1">
        <w:rPr>
          <w:lang w:val="es-ES"/>
        </w:rPr>
        <w:t>p. 71)</w:t>
      </w:r>
      <w:r w:rsidR="000B7A4F">
        <w:rPr>
          <w:lang w:val="es-ES"/>
        </w:rPr>
        <w:t>, así con los procedentes de la investigación de García Rodríguez et al. (2011), quienes solamente detectaron seis competencias que los pa</w:t>
      </w:r>
      <w:r w:rsidR="005B291E">
        <w:rPr>
          <w:lang w:val="es-ES"/>
        </w:rPr>
        <w:t xml:space="preserve">rticipantes valoraron altamente </w:t>
      </w:r>
      <w:r w:rsidR="000B7A4F">
        <w:rPr>
          <w:lang w:val="es-ES"/>
        </w:rPr>
        <w:t>tanto en importancia como en desarrollo percibid</w:t>
      </w:r>
      <w:r w:rsidR="00F759CC">
        <w:rPr>
          <w:lang w:val="es-ES"/>
        </w:rPr>
        <w:t>o tras cursar el MUPES.</w:t>
      </w:r>
      <w:r w:rsidR="00664275">
        <w:rPr>
          <w:lang w:val="es-ES"/>
        </w:rPr>
        <w:t xml:space="preserve"> En este caso, pese a que Serrano y Pontes (2017) parecen interpretar un cierto paralelismo entre el dominio y la importancia, el presente estudio es algo más cauto al respecto.</w:t>
      </w:r>
    </w:p>
    <w:p w14:paraId="6D6AD42D" w14:textId="77777777" w:rsidR="00603DA6" w:rsidRDefault="00603DA6" w:rsidP="00603DA6">
      <w:pPr>
        <w:pStyle w:val="TextoNormal"/>
      </w:pPr>
    </w:p>
    <w:p w14:paraId="365AA8ED" w14:textId="77777777" w:rsidR="00603DA6" w:rsidRPr="0026579B" w:rsidRDefault="00603DA6" w:rsidP="00603DA6">
      <w:pPr>
        <w:pStyle w:val="Titulodelapartado"/>
        <w:numPr>
          <w:ilvl w:val="0"/>
          <w:numId w:val="0"/>
        </w:numPr>
        <w:rPr>
          <w:lang w:val="es-ES"/>
        </w:rPr>
      </w:pPr>
      <w:r>
        <w:rPr>
          <w:lang w:val="es-ES"/>
        </w:rPr>
        <w:lastRenderedPageBreak/>
        <w:t>4</w:t>
      </w:r>
      <w:r w:rsidRPr="0026579B">
        <w:rPr>
          <w:lang w:val="es-ES"/>
        </w:rPr>
        <w:t>.</w:t>
      </w:r>
      <w:r>
        <w:rPr>
          <w:lang w:val="es-ES"/>
        </w:rPr>
        <w:t>1</w:t>
      </w:r>
      <w:r w:rsidRPr="0026579B">
        <w:rPr>
          <w:lang w:val="es-ES"/>
        </w:rPr>
        <w:t xml:space="preserve">. </w:t>
      </w:r>
      <w:r w:rsidR="00AE5681">
        <w:rPr>
          <w:lang w:val="es-ES"/>
        </w:rPr>
        <w:t>Implicaciones para</w:t>
      </w:r>
      <w:r w:rsidR="00C3331B">
        <w:rPr>
          <w:lang w:val="es-ES"/>
        </w:rPr>
        <w:t xml:space="preserve"> la formación del profesorado de Educación Secundaria</w:t>
      </w:r>
    </w:p>
    <w:p w14:paraId="4F0F5933" w14:textId="77777777" w:rsidR="00664275" w:rsidRPr="00D65F7D" w:rsidRDefault="00664275" w:rsidP="00D65F7D">
      <w:pPr>
        <w:pStyle w:val="TextoNormal"/>
        <w:ind w:firstLine="0"/>
        <w:rPr>
          <w:i/>
        </w:rPr>
      </w:pPr>
    </w:p>
    <w:p w14:paraId="1ADDCFD9" w14:textId="524C392F" w:rsidR="00D65F7D" w:rsidRDefault="00D65F7D" w:rsidP="00D65F7D">
      <w:pPr>
        <w:pStyle w:val="TextoNormal"/>
      </w:pPr>
      <w:r>
        <w:rPr>
          <w:lang w:val="es-ES"/>
        </w:rPr>
        <w:t xml:space="preserve">La investigación aquí presentada ha estado marcada por un contexto no siempre fácil, y de ahí alguna de las limitaciones que han marcado el estudio. Como se ha apuntado, no fue posible obtener datos tras el periodo de prácticas del último de los cursos académicos debido al </w:t>
      </w:r>
      <w:r>
        <w:t xml:space="preserve">confinamiento establecido </w:t>
      </w:r>
      <w:r w:rsidR="004E61F3">
        <w:t>por</w:t>
      </w:r>
      <w:r>
        <w:t xml:space="preserve"> la pandemia del COVID-19. Ahora bien, pese a estas dificultades, el estudio ha tratado de ofrecer una visión lo más cercana </w:t>
      </w:r>
      <w:r w:rsidR="0019582D">
        <w:t xml:space="preserve">posible </w:t>
      </w:r>
      <w:r>
        <w:t xml:space="preserve">a la realidad, contando con un porcentaje muy alto (más del 83 por ciento) de los estudiantes matriculados en la especialidad de </w:t>
      </w:r>
      <w:r w:rsidRPr="00A8776B">
        <w:rPr>
          <w:i/>
        </w:rPr>
        <w:t>Geografía e Historia</w:t>
      </w:r>
      <w:r>
        <w:t xml:space="preserve"> en los últimos cuatro cursos. Esta visión es la que permite tener una idea certera del profesorado en formación en esta especialidad, así como sus perspectivas y carencias</w:t>
      </w:r>
      <w:r w:rsidR="00F80884">
        <w:t xml:space="preserve"> docentes</w:t>
      </w:r>
      <w:r>
        <w:t>, y es lo que puede ayudar a abordar los cambios en el modelo formativo y su adaptación a las necesidades futuras.</w:t>
      </w:r>
    </w:p>
    <w:p w14:paraId="4A7B74E6" w14:textId="0CE0F89D" w:rsidR="00F80884" w:rsidRPr="00931CE8" w:rsidRDefault="00F80884" w:rsidP="00F80884">
      <w:pPr>
        <w:pStyle w:val="TextoNormal"/>
      </w:pPr>
      <w:r>
        <w:t>Es reconocid</w:t>
      </w:r>
      <w:r w:rsidR="003D24AE">
        <w:t>a</w:t>
      </w:r>
      <w:r>
        <w:t xml:space="preserve"> por</w:t>
      </w:r>
      <w:r w:rsidR="003A7F2E">
        <w:t xml:space="preserve"> profesores y alumnos</w:t>
      </w:r>
      <w:r>
        <w:t xml:space="preserve"> la importancia del Prácticum en la adquisición de las competencias docentes en la formación inicial del profesorado de Educación Secundaria. Desde esta perspectiva, cualquier mejora en los procesos formativos requiere atender a la manera en la que éste se desarrolla, tanto en lo referido a su extensión como a su enfoque, organización y planificación. </w:t>
      </w:r>
      <w:r w:rsidR="009B7752">
        <w:t xml:space="preserve">En relación al primer aspecto, la adquisición de competencias docentes complejas, como la capacidad de aplicar propuestas docentes innovadoras, o participar en propuestas de mejora en los centros, </w:t>
      </w:r>
      <w:r w:rsidR="003A7F2E">
        <w:t>parece</w:t>
      </w:r>
      <w:r w:rsidR="0090500D">
        <w:t>n</w:t>
      </w:r>
      <w:r w:rsidR="003A7F2E">
        <w:t xml:space="preserve"> </w:t>
      </w:r>
      <w:r w:rsidR="009B7752">
        <w:t xml:space="preserve">requerir mayor tiempo de permanencia en el aula. </w:t>
      </w:r>
      <w:r w:rsidR="0090500D">
        <w:t>Paralelamente</w:t>
      </w:r>
      <w:r w:rsidR="003D24AE">
        <w:t>, una selección adecuada de centros y tutores podría tener un papel relevante para facilitar la participación de los docentes en formación en proyectos de innovación</w:t>
      </w:r>
      <w:r w:rsidR="003A7F2E">
        <w:t xml:space="preserve">. Ambas premisas permitirían </w:t>
      </w:r>
      <w:r w:rsidR="003D24AE">
        <w:t>suplir</w:t>
      </w:r>
      <w:r w:rsidR="003A7F2E">
        <w:t xml:space="preserve"> las </w:t>
      </w:r>
      <w:r w:rsidR="003D24AE">
        <w:t>carencias detectadas en su desarrollo competencial</w:t>
      </w:r>
      <w:r w:rsidR="0090500D">
        <w:t>, confluyendo en una mejora del proyecto formativo y, en consecuencia, en una educación secundaria de mayor calidad</w:t>
      </w:r>
      <w:r w:rsidR="003D24AE">
        <w:t>.</w:t>
      </w:r>
    </w:p>
    <w:p w14:paraId="7D4076D0" w14:textId="77777777" w:rsidR="000156AB" w:rsidRDefault="00056C35" w:rsidP="00207F76">
      <w:pPr>
        <w:pStyle w:val="Referencias"/>
      </w:pPr>
      <w:r>
        <w:t xml:space="preserve">Referencias </w:t>
      </w:r>
    </w:p>
    <w:p w14:paraId="2D1B12E8" w14:textId="77777777" w:rsidR="004116EE" w:rsidRPr="004116EE" w:rsidRDefault="004116EE" w:rsidP="003D6BBA">
      <w:pPr>
        <w:pStyle w:val="TextoNormal"/>
        <w:ind w:left="567" w:hanging="567"/>
        <w:rPr>
          <w:lang w:val="es-ES"/>
        </w:rPr>
      </w:pPr>
      <w:r w:rsidRPr="004116EE">
        <w:rPr>
          <w:lang w:val="es-ES"/>
        </w:rPr>
        <w:t>Albert, J.</w:t>
      </w:r>
      <w:r w:rsidR="00667883">
        <w:rPr>
          <w:lang w:val="es-ES"/>
        </w:rPr>
        <w:t xml:space="preserve"> </w:t>
      </w:r>
      <w:r w:rsidRPr="004116EE">
        <w:rPr>
          <w:lang w:val="es-ES"/>
        </w:rPr>
        <w:t xml:space="preserve">M., Fuentes, C. </w:t>
      </w:r>
      <w:r w:rsidR="00667883">
        <w:rPr>
          <w:lang w:val="es-ES"/>
        </w:rPr>
        <w:t>y</w:t>
      </w:r>
      <w:r w:rsidRPr="004116EE">
        <w:rPr>
          <w:lang w:val="es-ES"/>
        </w:rPr>
        <w:t xml:space="preserve"> Palos, J.</w:t>
      </w:r>
      <w:r w:rsidR="00667883">
        <w:rPr>
          <w:lang w:val="es-ES"/>
        </w:rPr>
        <w:t xml:space="preserve"> </w:t>
      </w:r>
      <w:r w:rsidRPr="004116EE">
        <w:rPr>
          <w:lang w:val="es-ES"/>
        </w:rPr>
        <w:t>(2012)</w:t>
      </w:r>
      <w:r w:rsidR="00667883">
        <w:rPr>
          <w:lang w:val="es-ES"/>
        </w:rPr>
        <w:t>.</w:t>
      </w:r>
      <w:r w:rsidRPr="004116EE">
        <w:rPr>
          <w:lang w:val="es-ES"/>
        </w:rPr>
        <w:t xml:space="preserve"> La formación inicial del profesorado y el prácticum de secundaria. </w:t>
      </w:r>
      <w:r w:rsidRPr="00667883">
        <w:rPr>
          <w:i/>
          <w:lang w:val="es-ES"/>
        </w:rPr>
        <w:t>Íber Didáctica de las Ciencias Sociales, Geografía e Historia</w:t>
      </w:r>
      <w:r w:rsidRPr="004116EE">
        <w:rPr>
          <w:lang w:val="es-ES"/>
        </w:rPr>
        <w:t xml:space="preserve">, </w:t>
      </w:r>
      <w:r w:rsidRPr="00667883">
        <w:rPr>
          <w:i/>
          <w:lang w:val="es-ES"/>
        </w:rPr>
        <w:t>72</w:t>
      </w:r>
      <w:r w:rsidRPr="004116EE">
        <w:rPr>
          <w:lang w:val="es-ES"/>
        </w:rPr>
        <w:t>, 65-70.</w:t>
      </w:r>
    </w:p>
    <w:p w14:paraId="02B1262D" w14:textId="77777777" w:rsidR="004116EE" w:rsidRPr="004116EE" w:rsidRDefault="004116EE" w:rsidP="003D6BBA">
      <w:pPr>
        <w:pStyle w:val="TextoNormal"/>
        <w:ind w:left="567" w:hanging="567"/>
        <w:rPr>
          <w:lang w:val="es-ES"/>
        </w:rPr>
      </w:pPr>
      <w:r w:rsidRPr="004116EE">
        <w:rPr>
          <w:lang w:val="es-ES"/>
        </w:rPr>
        <w:t xml:space="preserve">Buendía, L., Berrocal, E., Olmedo, E. M., Pegalajar, M., Ruiz, M. A. y Tomé, M. (2011). Valoración por parte del alumnado de las competencias que se pretenden conseguir con el máster universitario de profesorado de educación secundaria obligatoria, bachillerato, formación profesional y enseñanza de idiomas. </w:t>
      </w:r>
      <w:r w:rsidRPr="00667883">
        <w:rPr>
          <w:i/>
          <w:lang w:val="es-ES"/>
        </w:rPr>
        <w:t>Bordón</w:t>
      </w:r>
      <w:r w:rsidRPr="004116EE">
        <w:rPr>
          <w:lang w:val="es-ES"/>
        </w:rPr>
        <w:t xml:space="preserve">, </w:t>
      </w:r>
      <w:r w:rsidRPr="00667883">
        <w:rPr>
          <w:i/>
          <w:lang w:val="es-ES"/>
        </w:rPr>
        <w:t>63</w:t>
      </w:r>
      <w:r w:rsidR="00667883">
        <w:rPr>
          <w:lang w:val="es-ES"/>
        </w:rPr>
        <w:t>(3), 57-74.</w:t>
      </w:r>
    </w:p>
    <w:p w14:paraId="6112424B" w14:textId="77777777" w:rsidR="004116EE" w:rsidRPr="004116EE" w:rsidRDefault="004116EE" w:rsidP="003D6BBA">
      <w:pPr>
        <w:pStyle w:val="TextoNormal"/>
        <w:ind w:left="567" w:hanging="567"/>
        <w:rPr>
          <w:lang w:val="es-ES"/>
        </w:rPr>
      </w:pPr>
      <w:r w:rsidRPr="004116EE">
        <w:rPr>
          <w:lang w:val="es-ES"/>
        </w:rPr>
        <w:t xml:space="preserve">Cabrerizo, J, Rubio, M. J., Castillo, S y Cabrerizo, A. (2011). </w:t>
      </w:r>
      <w:r w:rsidRPr="00667883">
        <w:rPr>
          <w:i/>
          <w:lang w:val="es-ES"/>
        </w:rPr>
        <w:t>El prácticum del Máster en Formación del Profesorado: de Educación Secundaria Obligatoria, Bachillerato, Formación Profesional y enseñanzas de idiomas: manual teórico-práctico</w:t>
      </w:r>
      <w:r w:rsidRPr="004116EE">
        <w:rPr>
          <w:lang w:val="es-ES"/>
        </w:rPr>
        <w:t>. Madrid: Pearson Educación</w:t>
      </w:r>
      <w:r w:rsidR="00667883">
        <w:rPr>
          <w:lang w:val="es-ES"/>
        </w:rPr>
        <w:t>.</w:t>
      </w:r>
    </w:p>
    <w:p w14:paraId="14862F10" w14:textId="77777777" w:rsidR="004116EE" w:rsidRPr="00D211C4" w:rsidRDefault="004116EE" w:rsidP="003D6BBA">
      <w:pPr>
        <w:pStyle w:val="TextoNormal"/>
        <w:ind w:left="567" w:hanging="567"/>
        <w:rPr>
          <w:lang w:val="es-ES"/>
        </w:rPr>
      </w:pPr>
      <w:r w:rsidRPr="00D211C4">
        <w:rPr>
          <w:lang w:val="es-ES"/>
        </w:rPr>
        <w:t>Cano, J., Orejudo, S. y Cortés, P.</w:t>
      </w:r>
      <w:r w:rsidR="00667883" w:rsidRPr="00D211C4">
        <w:rPr>
          <w:lang w:val="es-ES"/>
        </w:rPr>
        <w:t xml:space="preserve"> </w:t>
      </w:r>
      <w:r w:rsidRPr="00D211C4">
        <w:rPr>
          <w:lang w:val="es-ES"/>
        </w:rPr>
        <w:t xml:space="preserve">A. (2012). La formación inicial del profesorado de Secundaria: primera investigación en el desarrollo del prácticum de la Universidad de Zaragoza. </w:t>
      </w:r>
      <w:r w:rsidRPr="00D211C4">
        <w:rPr>
          <w:i/>
          <w:lang w:val="es-ES"/>
        </w:rPr>
        <w:t>Revista Electrónica Interuniversitaria de Formación del Profesorado</w:t>
      </w:r>
      <w:r w:rsidRPr="00D211C4">
        <w:rPr>
          <w:lang w:val="es-ES"/>
        </w:rPr>
        <w:t xml:space="preserve">, </w:t>
      </w:r>
      <w:r w:rsidRPr="00D211C4">
        <w:rPr>
          <w:i/>
          <w:lang w:val="es-ES"/>
        </w:rPr>
        <w:t>15</w:t>
      </w:r>
      <w:r w:rsidRPr="00D211C4">
        <w:rPr>
          <w:lang w:val="es-ES"/>
        </w:rPr>
        <w:t>(3), 121-132. </w:t>
      </w:r>
    </w:p>
    <w:p w14:paraId="7AC82DEF" w14:textId="77777777" w:rsidR="004116EE" w:rsidRPr="008B2D27" w:rsidRDefault="004116EE" w:rsidP="003D6BBA">
      <w:pPr>
        <w:pStyle w:val="TextoNormal"/>
        <w:ind w:left="567" w:hanging="567"/>
        <w:rPr>
          <w:lang w:val="en-US"/>
        </w:rPr>
      </w:pPr>
      <w:r w:rsidRPr="004116EE">
        <w:rPr>
          <w:lang w:val="es-ES"/>
        </w:rPr>
        <w:t xml:space="preserve">Casas, M. (2010). Las prácticas y las competencias en la formación docente. En </w:t>
      </w:r>
      <w:r w:rsidR="00667883">
        <w:rPr>
          <w:lang w:val="es-ES"/>
        </w:rPr>
        <w:t>I. González Gallego (Coord.),</w:t>
      </w:r>
      <w:r w:rsidRPr="004116EE">
        <w:rPr>
          <w:lang w:val="es-ES"/>
        </w:rPr>
        <w:t xml:space="preserve"> </w:t>
      </w:r>
      <w:r w:rsidRPr="00667883">
        <w:rPr>
          <w:i/>
          <w:lang w:val="es-ES"/>
        </w:rPr>
        <w:t>El nuevo profesor de secundaria. La formación inicial docente en el marco del Espacio Europeo de Educación Superior</w:t>
      </w:r>
      <w:r w:rsidRPr="004116EE">
        <w:rPr>
          <w:lang w:val="es-ES"/>
        </w:rPr>
        <w:t xml:space="preserve"> (97-112). </w:t>
      </w:r>
      <w:r w:rsidRPr="008B2D27">
        <w:rPr>
          <w:lang w:val="en-US"/>
        </w:rPr>
        <w:t>Barcelona: Graó.</w:t>
      </w:r>
    </w:p>
    <w:p w14:paraId="6C9721B5" w14:textId="77777777" w:rsidR="00601035" w:rsidRPr="00601035" w:rsidRDefault="00601035" w:rsidP="00601035">
      <w:pPr>
        <w:pStyle w:val="TextoNormal"/>
        <w:ind w:left="567" w:hanging="567"/>
      </w:pPr>
      <w:r w:rsidRPr="00601035">
        <w:rPr>
          <w:lang w:val="en-US"/>
        </w:rPr>
        <w:t xml:space="preserve">Cohen, L., Manion, L., y Morrison, K. (2017). </w:t>
      </w:r>
      <w:r w:rsidRPr="00601035">
        <w:rPr>
          <w:i/>
          <w:iCs/>
          <w:lang w:val="en-US"/>
        </w:rPr>
        <w:t>Research Methods in Education</w:t>
      </w:r>
      <w:r w:rsidRPr="00601035">
        <w:rPr>
          <w:lang w:val="en-US"/>
        </w:rPr>
        <w:t xml:space="preserve"> (8ª ed.). </w:t>
      </w:r>
      <w:r w:rsidRPr="00601035">
        <w:rPr>
          <w:lang w:val="es-ES"/>
        </w:rPr>
        <w:t>Londres: Routledge.</w:t>
      </w:r>
    </w:p>
    <w:p w14:paraId="7CF50E91" w14:textId="77777777" w:rsidR="004116EE" w:rsidRPr="004116EE" w:rsidRDefault="004116EE" w:rsidP="003D6BBA">
      <w:pPr>
        <w:pStyle w:val="TextoNormal"/>
        <w:ind w:left="567" w:hanging="567"/>
        <w:rPr>
          <w:lang w:val="es-ES"/>
        </w:rPr>
      </w:pPr>
      <w:r w:rsidRPr="004116EE">
        <w:rPr>
          <w:lang w:val="es-ES"/>
        </w:rPr>
        <w:t>De los Reyes, J</w:t>
      </w:r>
      <w:r w:rsidR="00667883">
        <w:rPr>
          <w:lang w:val="es-ES"/>
        </w:rPr>
        <w:t xml:space="preserve">. </w:t>
      </w:r>
      <w:r w:rsidRPr="004116EE">
        <w:rPr>
          <w:lang w:val="es-ES"/>
        </w:rPr>
        <w:t>L</w:t>
      </w:r>
      <w:r w:rsidR="00667883">
        <w:rPr>
          <w:lang w:val="es-ES"/>
        </w:rPr>
        <w:t>.</w:t>
      </w:r>
      <w:r w:rsidRPr="004116EE">
        <w:rPr>
          <w:lang w:val="es-ES"/>
        </w:rPr>
        <w:t xml:space="preserve"> (2020)</w:t>
      </w:r>
      <w:r w:rsidR="00667883">
        <w:rPr>
          <w:lang w:val="es-ES"/>
        </w:rPr>
        <w:t>.</w:t>
      </w:r>
      <w:r w:rsidRPr="004116EE">
        <w:rPr>
          <w:lang w:val="es-ES"/>
        </w:rPr>
        <w:t xml:space="preserve"> El Prácticum del Máster de Formación de Profesorado de Secundaria y Bachillerato: análisis de caso de la especialidad de Geografía e Historia. En </w:t>
      </w:r>
      <w:r w:rsidR="00667883">
        <w:rPr>
          <w:lang w:val="es-ES"/>
        </w:rPr>
        <w:t xml:space="preserve">A. Rodríguez Marcos y R. Esteban Moreno (Coord.), </w:t>
      </w:r>
      <w:r w:rsidRPr="00667883">
        <w:rPr>
          <w:i/>
          <w:lang w:val="es-ES"/>
        </w:rPr>
        <w:t>El Prácticum, factor de calidad en la formación del profesorado de Secundaria y Bachillerato. Teoría y práctica</w:t>
      </w:r>
      <w:r w:rsidRPr="004116EE">
        <w:rPr>
          <w:lang w:val="es-ES"/>
        </w:rPr>
        <w:t>. Barcelona: Octaedro.</w:t>
      </w:r>
    </w:p>
    <w:p w14:paraId="603CCD94" w14:textId="77777777" w:rsidR="004116EE" w:rsidRPr="004116EE" w:rsidRDefault="00667883" w:rsidP="003D6BBA">
      <w:pPr>
        <w:pStyle w:val="TextoNormal"/>
        <w:ind w:left="567" w:hanging="567"/>
        <w:rPr>
          <w:lang w:val="es-ES"/>
        </w:rPr>
      </w:pPr>
      <w:r>
        <w:rPr>
          <w:lang w:val="es-ES"/>
        </w:rPr>
        <w:t>Delors, J. (1996</w:t>
      </w:r>
      <w:r w:rsidR="004116EE" w:rsidRPr="004116EE">
        <w:rPr>
          <w:lang w:val="es-ES"/>
        </w:rPr>
        <w:t xml:space="preserve">). </w:t>
      </w:r>
      <w:r w:rsidR="004116EE" w:rsidRPr="00667883">
        <w:rPr>
          <w:i/>
          <w:lang w:val="es-ES"/>
        </w:rPr>
        <w:t>La educación encierra un tesoro. Informe a la UNESCO de la Comisión internacional sobre la educación para el siglo XXI</w:t>
      </w:r>
      <w:r>
        <w:rPr>
          <w:lang w:val="es-ES"/>
        </w:rPr>
        <w:t>.</w:t>
      </w:r>
      <w:r w:rsidR="004116EE" w:rsidRPr="004116EE">
        <w:rPr>
          <w:lang w:val="es-ES"/>
        </w:rPr>
        <w:t xml:space="preserve"> Madrid: Santillana/UNESCO.</w:t>
      </w:r>
    </w:p>
    <w:p w14:paraId="17A79F2E" w14:textId="77777777" w:rsidR="004116EE" w:rsidRPr="004116EE" w:rsidRDefault="004116EE" w:rsidP="003D6BBA">
      <w:pPr>
        <w:pStyle w:val="TextoNormal"/>
        <w:ind w:left="567" w:hanging="567"/>
        <w:rPr>
          <w:lang w:val="es-ES"/>
        </w:rPr>
      </w:pPr>
      <w:r w:rsidRPr="004116EE">
        <w:rPr>
          <w:lang w:val="es-ES"/>
        </w:rPr>
        <w:lastRenderedPageBreak/>
        <w:t>Escudero, J. M. (2006)</w:t>
      </w:r>
      <w:r w:rsidR="00667883">
        <w:rPr>
          <w:lang w:val="es-ES"/>
        </w:rPr>
        <w:t xml:space="preserve">. </w:t>
      </w:r>
      <w:r w:rsidRPr="004116EE">
        <w:rPr>
          <w:lang w:val="es-ES"/>
        </w:rPr>
        <w:t>La formación del profesorado y la garantía del derecho a</w:t>
      </w:r>
      <w:r w:rsidR="00667883">
        <w:rPr>
          <w:lang w:val="es-ES"/>
        </w:rPr>
        <w:t xml:space="preserve"> una buena educación para todos. E</w:t>
      </w:r>
      <w:r w:rsidRPr="004116EE">
        <w:rPr>
          <w:lang w:val="es-ES"/>
        </w:rPr>
        <w:t xml:space="preserve">n </w:t>
      </w:r>
      <w:r w:rsidR="00667883">
        <w:rPr>
          <w:lang w:val="es-ES"/>
        </w:rPr>
        <w:t xml:space="preserve">J. M. </w:t>
      </w:r>
      <w:r w:rsidRPr="004116EE">
        <w:rPr>
          <w:lang w:val="es-ES"/>
        </w:rPr>
        <w:t xml:space="preserve">Escudero y </w:t>
      </w:r>
      <w:r w:rsidR="00667883">
        <w:rPr>
          <w:lang w:val="es-ES"/>
        </w:rPr>
        <w:t>A.</w:t>
      </w:r>
      <w:r w:rsidRPr="004116EE">
        <w:rPr>
          <w:lang w:val="es-ES"/>
        </w:rPr>
        <w:t xml:space="preserve"> </w:t>
      </w:r>
      <w:r w:rsidR="00667883">
        <w:rPr>
          <w:lang w:val="es-ES"/>
        </w:rPr>
        <w:t xml:space="preserve">L. Gómez </w:t>
      </w:r>
      <w:r w:rsidRPr="004116EE">
        <w:rPr>
          <w:lang w:val="es-ES"/>
        </w:rPr>
        <w:t>(</w:t>
      </w:r>
      <w:r w:rsidR="00667883">
        <w:rPr>
          <w:lang w:val="es-ES"/>
        </w:rPr>
        <w:t>E</w:t>
      </w:r>
      <w:r w:rsidRPr="004116EE">
        <w:rPr>
          <w:lang w:val="es-ES"/>
        </w:rPr>
        <w:t>ds</w:t>
      </w:r>
      <w:r w:rsidR="00667883">
        <w:rPr>
          <w:lang w:val="es-ES"/>
        </w:rPr>
        <w:t>.</w:t>
      </w:r>
      <w:r w:rsidRPr="004116EE">
        <w:rPr>
          <w:lang w:val="es-ES"/>
        </w:rPr>
        <w:t>)</w:t>
      </w:r>
      <w:r w:rsidR="00667883">
        <w:rPr>
          <w:lang w:val="es-ES"/>
        </w:rPr>
        <w:t>,</w:t>
      </w:r>
      <w:r w:rsidRPr="004116EE">
        <w:rPr>
          <w:lang w:val="es-ES"/>
        </w:rPr>
        <w:t> </w:t>
      </w:r>
      <w:r w:rsidRPr="004116EE">
        <w:rPr>
          <w:i/>
          <w:iCs/>
          <w:lang w:val="es-ES"/>
        </w:rPr>
        <w:t>La formación del profesorado y la Mejora de la Educación</w:t>
      </w:r>
      <w:r w:rsidR="00667883">
        <w:rPr>
          <w:i/>
          <w:iCs/>
          <w:lang w:val="es-ES"/>
        </w:rPr>
        <w:t xml:space="preserve"> </w:t>
      </w:r>
      <w:r w:rsidR="00667883" w:rsidRPr="004116EE">
        <w:rPr>
          <w:lang w:val="es-ES"/>
        </w:rPr>
        <w:t>(21-51)</w:t>
      </w:r>
      <w:r w:rsidR="00667883">
        <w:rPr>
          <w:i/>
          <w:iCs/>
          <w:lang w:val="es-ES"/>
        </w:rPr>
        <w:t>.</w:t>
      </w:r>
      <w:r w:rsidRPr="004116EE">
        <w:rPr>
          <w:i/>
          <w:iCs/>
          <w:lang w:val="es-ES"/>
        </w:rPr>
        <w:t> </w:t>
      </w:r>
      <w:r w:rsidR="00667883">
        <w:rPr>
          <w:lang w:val="es-ES"/>
        </w:rPr>
        <w:t>Barcelona: Octaedro.</w:t>
      </w:r>
    </w:p>
    <w:p w14:paraId="14925738" w14:textId="77777777" w:rsidR="004116EE" w:rsidRDefault="004116EE" w:rsidP="003D6BBA">
      <w:pPr>
        <w:pStyle w:val="TextoNormal"/>
        <w:ind w:left="567" w:hanging="567"/>
        <w:rPr>
          <w:lang w:val="es-ES"/>
        </w:rPr>
      </w:pPr>
      <w:r w:rsidRPr="004116EE">
        <w:rPr>
          <w:lang w:val="es-ES"/>
        </w:rPr>
        <w:t>E</w:t>
      </w:r>
      <w:r w:rsidR="00667883">
        <w:rPr>
          <w:lang w:val="es-ES"/>
        </w:rPr>
        <w:t xml:space="preserve">urydice </w:t>
      </w:r>
      <w:r w:rsidRPr="004116EE">
        <w:rPr>
          <w:lang w:val="es-ES"/>
        </w:rPr>
        <w:t>(2002)</w:t>
      </w:r>
      <w:r w:rsidR="00667883">
        <w:rPr>
          <w:lang w:val="es-ES"/>
        </w:rPr>
        <w:t>.</w:t>
      </w:r>
      <w:r w:rsidRPr="004116EE">
        <w:rPr>
          <w:lang w:val="es-ES"/>
        </w:rPr>
        <w:t xml:space="preserve"> </w:t>
      </w:r>
      <w:r w:rsidRPr="00667883">
        <w:rPr>
          <w:i/>
          <w:lang w:val="es-ES"/>
        </w:rPr>
        <w:t>La profesión docente en Europa: perfil, tendencias y problemática. Informe 1. Formación inicial y transición a la vida laboral. Educación Secundaria Inferior</w:t>
      </w:r>
      <w:r w:rsidRPr="004116EE">
        <w:rPr>
          <w:lang w:val="es-ES"/>
        </w:rPr>
        <w:t xml:space="preserve">. </w:t>
      </w:r>
      <w:r w:rsidR="00667883">
        <w:rPr>
          <w:lang w:val="es-ES"/>
        </w:rPr>
        <w:t xml:space="preserve">Madrid: </w:t>
      </w:r>
      <w:r w:rsidRPr="004116EE">
        <w:rPr>
          <w:lang w:val="es-ES"/>
        </w:rPr>
        <w:t>Secretaria General y Técnica del Ministerio de Educación, Cultura y Deporte.</w:t>
      </w:r>
    </w:p>
    <w:p w14:paraId="3A20B485" w14:textId="55120F22" w:rsidR="00F76123" w:rsidRPr="00164C3F" w:rsidRDefault="00F76123" w:rsidP="003D6BBA">
      <w:pPr>
        <w:pStyle w:val="TextoNormal"/>
        <w:ind w:left="567" w:hanging="567"/>
        <w:rPr>
          <w:lang w:val="es-ES"/>
        </w:rPr>
      </w:pPr>
      <w:r w:rsidRPr="00164C3F">
        <w:rPr>
          <w:lang w:val="es-ES"/>
        </w:rPr>
        <w:t>Gil-Molina, P., Ibáñez</w:t>
      </w:r>
      <w:r w:rsidR="00164C3F" w:rsidRPr="00164C3F">
        <w:rPr>
          <w:lang w:val="es-ES"/>
        </w:rPr>
        <w:t xml:space="preserve">-Etxeberría, A., Arribas, S. y </w:t>
      </w:r>
      <w:r w:rsidRPr="00164C3F">
        <w:rPr>
          <w:lang w:val="es-ES"/>
        </w:rPr>
        <w:t xml:space="preserve">Jaureguizar, J. (2018). El practicum del máster de formación del profesorado de secundaria: Valoraciones del alumnado y del profesorado-tutor. </w:t>
      </w:r>
      <w:r w:rsidRPr="00164C3F">
        <w:rPr>
          <w:i/>
          <w:lang w:val="es-ES"/>
        </w:rPr>
        <w:t>Profesorado. Revista de Currículum y Formación de Profesorado, 22</w:t>
      </w:r>
      <w:r w:rsidRPr="00164C3F">
        <w:rPr>
          <w:lang w:val="es-ES"/>
        </w:rPr>
        <w:t>(1), 369-392.</w:t>
      </w:r>
    </w:p>
    <w:p w14:paraId="4D28B8F7" w14:textId="77777777" w:rsidR="004116EE" w:rsidRPr="004116EE" w:rsidRDefault="004116EE" w:rsidP="003D6BBA">
      <w:pPr>
        <w:pStyle w:val="TextoNormal"/>
        <w:ind w:left="567" w:hanging="567"/>
        <w:rPr>
          <w:lang w:val="es-ES"/>
        </w:rPr>
      </w:pPr>
      <w:r w:rsidRPr="004116EE">
        <w:rPr>
          <w:lang w:val="es-ES"/>
        </w:rPr>
        <w:t>González, J. (2007). El concepto de competencia y su aplicación a la formación de profesores. En R. Ávila, R. López-At</w:t>
      </w:r>
      <w:r w:rsidR="00CA74D5">
        <w:rPr>
          <w:lang w:val="es-ES"/>
        </w:rPr>
        <w:t xml:space="preserve">xurra y E. Fernández de Larrea (Coord.), </w:t>
      </w:r>
      <w:r w:rsidRPr="00CA74D5">
        <w:rPr>
          <w:i/>
          <w:lang w:val="es-ES"/>
        </w:rPr>
        <w:t>Las competencias p</w:t>
      </w:r>
      <w:r w:rsidR="00CA74D5">
        <w:rPr>
          <w:i/>
          <w:lang w:val="es-ES"/>
        </w:rPr>
        <w:t>rofesionales para la enseñanza-</w:t>
      </w:r>
      <w:r w:rsidRPr="00CA74D5">
        <w:rPr>
          <w:i/>
          <w:lang w:val="es-ES"/>
        </w:rPr>
        <w:t>aprendizaje de las ciencias sociales ante el reto de la globalización</w:t>
      </w:r>
      <w:r w:rsidRPr="004116EE">
        <w:rPr>
          <w:lang w:val="es-ES"/>
        </w:rPr>
        <w:t xml:space="preserve"> (19-32). </w:t>
      </w:r>
      <w:r w:rsidR="00CA74D5">
        <w:rPr>
          <w:lang w:val="es-ES"/>
        </w:rPr>
        <w:t xml:space="preserve">Bilbao: </w:t>
      </w:r>
      <w:r w:rsidRPr="004116EE">
        <w:rPr>
          <w:lang w:val="es-ES"/>
        </w:rPr>
        <w:t>AUPDCS</w:t>
      </w:r>
      <w:r w:rsidR="00CA74D5">
        <w:rPr>
          <w:lang w:val="es-ES"/>
        </w:rPr>
        <w:t>.</w:t>
      </w:r>
    </w:p>
    <w:p w14:paraId="2E4CA95C" w14:textId="77777777" w:rsidR="004116EE" w:rsidRDefault="004116EE" w:rsidP="003D6BBA">
      <w:pPr>
        <w:pStyle w:val="TextoNormal"/>
        <w:ind w:left="567" w:hanging="567"/>
        <w:rPr>
          <w:lang w:val="es-ES"/>
        </w:rPr>
      </w:pPr>
      <w:r w:rsidRPr="004116EE">
        <w:rPr>
          <w:lang w:val="es-ES"/>
        </w:rPr>
        <w:t>González Gallego, I. (2009)</w:t>
      </w:r>
      <w:r w:rsidR="00CA74D5">
        <w:rPr>
          <w:lang w:val="es-ES"/>
        </w:rPr>
        <w:t>.</w:t>
      </w:r>
      <w:r w:rsidRPr="004116EE">
        <w:rPr>
          <w:lang w:val="es-ES"/>
        </w:rPr>
        <w:t xml:space="preserve"> Del CAP al Máster s</w:t>
      </w:r>
      <w:r w:rsidR="00CA74D5">
        <w:rPr>
          <w:lang w:val="es-ES"/>
        </w:rPr>
        <w:t xml:space="preserve">in pasar por el CCP ni el TED. </w:t>
      </w:r>
      <w:r w:rsidR="00CA74D5" w:rsidRPr="00CA74D5">
        <w:rPr>
          <w:i/>
          <w:lang w:val="es-ES"/>
        </w:rPr>
        <w:t>Í</w:t>
      </w:r>
      <w:r w:rsidRPr="00CA74D5">
        <w:rPr>
          <w:i/>
          <w:lang w:val="es-ES"/>
        </w:rPr>
        <w:t>ber. Didáctica de la Geografía, la Historia y las Ciencias Sociales</w:t>
      </w:r>
      <w:r w:rsidRPr="004116EE">
        <w:rPr>
          <w:lang w:val="es-ES"/>
        </w:rPr>
        <w:t xml:space="preserve">, </w:t>
      </w:r>
      <w:r w:rsidRPr="00CA74D5">
        <w:rPr>
          <w:i/>
          <w:lang w:val="es-ES"/>
        </w:rPr>
        <w:t>61</w:t>
      </w:r>
      <w:r w:rsidR="00CA74D5">
        <w:rPr>
          <w:lang w:val="es-ES"/>
        </w:rPr>
        <w:t>, 24-47</w:t>
      </w:r>
      <w:r w:rsidRPr="004116EE">
        <w:rPr>
          <w:lang w:val="es-ES"/>
        </w:rPr>
        <w:t>.</w:t>
      </w:r>
    </w:p>
    <w:p w14:paraId="4E09E8CA" w14:textId="77777777" w:rsidR="00216D9B" w:rsidRPr="00216D9B" w:rsidRDefault="00216D9B" w:rsidP="00216D9B">
      <w:pPr>
        <w:pStyle w:val="TextoNormal"/>
        <w:ind w:left="567" w:hanging="567"/>
        <w:rPr>
          <w:lang w:val="es-ES"/>
        </w:rPr>
      </w:pPr>
      <w:r w:rsidRPr="00216D9B">
        <w:rPr>
          <w:lang w:val="es-ES"/>
        </w:rPr>
        <w:t xml:space="preserve">Hernández Sampieri, R., Fernández Collado, C., y Baptista Lucio, P. (2014). </w:t>
      </w:r>
      <w:r w:rsidRPr="00216D9B">
        <w:rPr>
          <w:i/>
          <w:iCs/>
          <w:lang w:val="es-ES"/>
        </w:rPr>
        <w:t>Metodología de la investigación</w:t>
      </w:r>
      <w:r w:rsidRPr="00216D9B">
        <w:rPr>
          <w:lang w:val="es-ES"/>
        </w:rPr>
        <w:t xml:space="preserve"> (6ª ed.). México, D.F.: McGraw-Hill.</w:t>
      </w:r>
    </w:p>
    <w:p w14:paraId="6D347A53" w14:textId="77777777" w:rsidR="004116EE" w:rsidRPr="004116EE" w:rsidRDefault="004116EE" w:rsidP="003D6BBA">
      <w:pPr>
        <w:pStyle w:val="TextoNormal"/>
        <w:ind w:left="567" w:hanging="567"/>
        <w:rPr>
          <w:lang w:val="es-ES"/>
        </w:rPr>
      </w:pPr>
      <w:r w:rsidRPr="004116EE">
        <w:rPr>
          <w:lang w:val="es-ES"/>
        </w:rPr>
        <w:t xml:space="preserve">Larriba, F. (2010). Ser profesor (de enseñanza secundaria). Cultura profesional y competencias. En </w:t>
      </w:r>
      <w:r w:rsidR="00CA74D5">
        <w:rPr>
          <w:lang w:val="es-ES"/>
        </w:rPr>
        <w:t>I. González Gallego</w:t>
      </w:r>
      <w:r w:rsidRPr="004116EE">
        <w:rPr>
          <w:lang w:val="es-ES"/>
        </w:rPr>
        <w:t xml:space="preserve"> (Coord.), </w:t>
      </w:r>
      <w:r w:rsidRPr="00CA74D5">
        <w:rPr>
          <w:i/>
          <w:lang w:val="es-ES"/>
        </w:rPr>
        <w:t>El nuevo profesor de secundaria. La formación inicial docente en el marco del Espacio Europeo de Educación Superior</w:t>
      </w:r>
      <w:r w:rsidRPr="004116EE">
        <w:rPr>
          <w:lang w:val="es-ES"/>
        </w:rPr>
        <w:t xml:space="preserve"> (97-112). Barcelona: Graó.</w:t>
      </w:r>
    </w:p>
    <w:p w14:paraId="1145C667" w14:textId="77777777" w:rsidR="004116EE" w:rsidRPr="004116EE" w:rsidRDefault="004116EE" w:rsidP="003D6BBA">
      <w:pPr>
        <w:pStyle w:val="TextoNormal"/>
        <w:ind w:left="567" w:hanging="567"/>
        <w:rPr>
          <w:lang w:val="es-ES"/>
        </w:rPr>
      </w:pPr>
      <w:r w:rsidRPr="004116EE">
        <w:rPr>
          <w:lang w:val="es-ES"/>
        </w:rPr>
        <w:t xml:space="preserve">Madalena Calvo, J. I., Pinheiro dos Santos, M. F., Rodríguez Pizzinato, L. A., </w:t>
      </w:r>
      <w:r w:rsidR="00427CF5">
        <w:rPr>
          <w:lang w:val="es-ES"/>
        </w:rPr>
        <w:t>y</w:t>
      </w:r>
      <w:r w:rsidRPr="004116EE">
        <w:rPr>
          <w:lang w:val="es-ES"/>
        </w:rPr>
        <w:t xml:space="preserve"> Souto, X. M. (2020). La valoración del </w:t>
      </w:r>
      <w:r w:rsidR="00667883">
        <w:rPr>
          <w:lang w:val="es-ES"/>
        </w:rPr>
        <w:t>Prácticum</w:t>
      </w:r>
      <w:r w:rsidRPr="004116EE">
        <w:rPr>
          <w:lang w:val="es-ES"/>
        </w:rPr>
        <w:t xml:space="preserve"> en la formación inicial: un estudio de casos internacional en el área de Geografía e Historia. </w:t>
      </w:r>
      <w:r w:rsidRPr="00427CF5">
        <w:rPr>
          <w:i/>
          <w:lang w:val="es-ES"/>
        </w:rPr>
        <w:t>Revista Interuniversitaria de Formación del Profesorado</w:t>
      </w:r>
      <w:r w:rsidRPr="004116EE">
        <w:rPr>
          <w:lang w:val="es-ES"/>
        </w:rPr>
        <w:t xml:space="preserve">, </w:t>
      </w:r>
      <w:r w:rsidRPr="00427CF5">
        <w:rPr>
          <w:i/>
          <w:lang w:val="es-ES"/>
        </w:rPr>
        <w:t>95</w:t>
      </w:r>
      <w:r w:rsidRPr="004116EE">
        <w:rPr>
          <w:lang w:val="es-ES"/>
        </w:rPr>
        <w:t xml:space="preserve">(34.3), 97-118. </w:t>
      </w:r>
      <w:hyperlink r:id="rId9" w:history="1">
        <w:r w:rsidR="00427CF5" w:rsidRPr="00427CF5">
          <w:rPr>
            <w:rStyle w:val="Hipervnculo"/>
            <w:lang w:val="es-ES"/>
          </w:rPr>
          <w:t xml:space="preserve">DOI: </w:t>
        </w:r>
        <w:r w:rsidRPr="00427CF5">
          <w:rPr>
            <w:rStyle w:val="Hipervnculo"/>
            <w:lang w:val="es-ES"/>
          </w:rPr>
          <w:t>10.47553/rifop.v34i3.81004</w:t>
        </w:r>
      </w:hyperlink>
    </w:p>
    <w:p w14:paraId="3CD927D3" w14:textId="77777777" w:rsidR="00A84778" w:rsidRDefault="00A84778" w:rsidP="00A84778">
      <w:pPr>
        <w:pStyle w:val="TextoNormal"/>
        <w:ind w:left="567" w:hanging="567"/>
        <w:rPr>
          <w:lang w:val="es-ES"/>
        </w:rPr>
      </w:pPr>
      <w:r w:rsidRPr="00A84778">
        <w:rPr>
          <w:lang w:val="es-ES"/>
        </w:rPr>
        <w:t xml:space="preserve">Martínez-Ferreira, J. M., Miguel-Revilla, D., </w:t>
      </w:r>
      <w:r>
        <w:rPr>
          <w:lang w:val="es-ES"/>
        </w:rPr>
        <w:t>y</w:t>
      </w:r>
      <w:r w:rsidRPr="00A84778">
        <w:rPr>
          <w:lang w:val="es-ES"/>
        </w:rPr>
        <w:t xml:space="preserve"> Sánchez-Agustí, M. (2021). Un camino iniciado y parcialmente recorrido: concepciones y expectativas de los futuros docentes sobre el Máster en Profesor de Educación Secundaria una década después. </w:t>
      </w:r>
      <w:r w:rsidRPr="00A84778">
        <w:rPr>
          <w:i/>
          <w:iCs/>
          <w:lang w:val="es-ES"/>
        </w:rPr>
        <w:t>Revista Interuniversitaria de Formación Del Profesorado</w:t>
      </w:r>
      <w:r w:rsidRPr="00A84778">
        <w:rPr>
          <w:lang w:val="es-ES"/>
        </w:rPr>
        <w:t xml:space="preserve">, </w:t>
      </w:r>
      <w:r w:rsidRPr="00A84778">
        <w:rPr>
          <w:i/>
          <w:iCs/>
          <w:lang w:val="es-ES"/>
        </w:rPr>
        <w:t>96</w:t>
      </w:r>
      <w:r w:rsidRPr="00A84778">
        <w:rPr>
          <w:lang w:val="es-ES"/>
        </w:rPr>
        <w:t xml:space="preserve">(35.2), 137–158. </w:t>
      </w:r>
      <w:hyperlink r:id="rId10" w:history="1">
        <w:r w:rsidRPr="00A84778">
          <w:rPr>
            <w:rStyle w:val="Hipervnculo"/>
            <w:lang w:val="es-ES"/>
          </w:rPr>
          <w:t>DOI: 10.47553/rifop.v97i35.2.88539</w:t>
        </w:r>
      </w:hyperlink>
    </w:p>
    <w:p w14:paraId="71D98B49" w14:textId="6C1C15FA" w:rsidR="004116EE" w:rsidRDefault="004116EE" w:rsidP="003D6BBA">
      <w:pPr>
        <w:pStyle w:val="TextoNormal"/>
        <w:ind w:left="567" w:hanging="567"/>
        <w:rPr>
          <w:lang w:val="es-ES"/>
        </w:rPr>
      </w:pPr>
      <w:r w:rsidRPr="004116EE">
        <w:rPr>
          <w:lang w:val="es-ES"/>
        </w:rPr>
        <w:t xml:space="preserve">Mateo, J. (2007). Interpretando la realidad, construyendo nuevas formas de conocimiento: el desarrollo competencial y su evaluación. </w:t>
      </w:r>
      <w:r w:rsidRPr="00427CF5">
        <w:rPr>
          <w:i/>
          <w:lang w:val="es-ES"/>
        </w:rPr>
        <w:t>Revista de Investigación Educativa (RIE)</w:t>
      </w:r>
      <w:r w:rsidRPr="004116EE">
        <w:rPr>
          <w:lang w:val="es-ES"/>
        </w:rPr>
        <w:t xml:space="preserve">, </w:t>
      </w:r>
      <w:r w:rsidRPr="00427CF5">
        <w:rPr>
          <w:i/>
          <w:lang w:val="es-ES"/>
        </w:rPr>
        <w:t>25</w:t>
      </w:r>
      <w:r w:rsidR="00427CF5">
        <w:rPr>
          <w:lang w:val="es-ES"/>
        </w:rPr>
        <w:t>(2), 513-531</w:t>
      </w:r>
      <w:r w:rsidRPr="004116EE">
        <w:rPr>
          <w:lang w:val="es-ES"/>
        </w:rPr>
        <w:t>.</w:t>
      </w:r>
    </w:p>
    <w:p w14:paraId="0C83FFD3" w14:textId="4BEF8006" w:rsidR="00435143" w:rsidRPr="00435143" w:rsidRDefault="00435143" w:rsidP="003D6BBA">
      <w:pPr>
        <w:pStyle w:val="TextoNormal"/>
        <w:ind w:left="567" w:hanging="567"/>
        <w:rPr>
          <w:lang w:val="es-ES"/>
        </w:rPr>
      </w:pPr>
      <w:r>
        <w:rPr>
          <w:lang w:val="es-ES"/>
        </w:rPr>
        <w:t>Molina, S., Ortuño, J.</w:t>
      </w:r>
      <w:r w:rsidR="00FB4994">
        <w:rPr>
          <w:lang w:val="es-ES"/>
        </w:rPr>
        <w:t>,</w:t>
      </w:r>
      <w:r>
        <w:rPr>
          <w:lang w:val="es-ES"/>
        </w:rPr>
        <w:t xml:space="preserve"> y Sánchez-Agustí, M. (2021). Nuevas leyes, mismos problemas. La enseñanza de la Historia en España a partir de los recuerdos de los futuros profesores de Educación Secundaria. </w:t>
      </w:r>
      <w:r>
        <w:rPr>
          <w:i/>
          <w:lang w:val="es-ES"/>
        </w:rPr>
        <w:t>El futuro del pasado, 12,</w:t>
      </w:r>
      <w:r>
        <w:rPr>
          <w:lang w:val="es-ES"/>
        </w:rPr>
        <w:t xml:space="preserve"> 61-89. </w:t>
      </w:r>
      <w:hyperlink r:id="rId11" w:history="1">
        <w:r w:rsidRPr="00FB4994">
          <w:rPr>
            <w:rStyle w:val="Hipervnculo"/>
            <w:rFonts w:cs="Times New Roman"/>
            <w:shd w:val="clear" w:color="auto" w:fill="FFFFFF"/>
          </w:rPr>
          <w:t>DOI: 10.14201/fdp2021126189</w:t>
        </w:r>
      </w:hyperlink>
    </w:p>
    <w:p w14:paraId="41C17438" w14:textId="77777777" w:rsidR="004116EE" w:rsidRPr="004116EE" w:rsidRDefault="004116EE" w:rsidP="003D6BBA">
      <w:pPr>
        <w:pStyle w:val="TextoNormal"/>
        <w:ind w:left="567" w:hanging="567"/>
        <w:rPr>
          <w:lang w:val="es-ES"/>
        </w:rPr>
      </w:pPr>
      <w:r w:rsidRPr="004116EE">
        <w:rPr>
          <w:lang w:val="es-ES"/>
        </w:rPr>
        <w:t>Moner, C., y Oller, M. (2014). Las expectativas de los estudiantes ante el prácticum del máster de formación del profesorado de la especialid</w:t>
      </w:r>
      <w:r w:rsidR="003D6BBA">
        <w:rPr>
          <w:lang w:val="es-ES"/>
        </w:rPr>
        <w:t xml:space="preserve">ad de Geografía e Historia. En A. Santisteban y J. Pagès </w:t>
      </w:r>
      <w:r w:rsidRPr="004116EE">
        <w:rPr>
          <w:lang w:val="es-ES"/>
        </w:rPr>
        <w:t>(Eds</w:t>
      </w:r>
      <w:r w:rsidR="003D6BBA">
        <w:rPr>
          <w:lang w:val="es-ES"/>
        </w:rPr>
        <w:t>.),</w:t>
      </w:r>
      <w:r w:rsidRPr="004116EE">
        <w:rPr>
          <w:lang w:val="es-ES"/>
        </w:rPr>
        <w:t xml:space="preserve"> </w:t>
      </w:r>
      <w:r w:rsidRPr="003D6BBA">
        <w:rPr>
          <w:i/>
          <w:lang w:val="es-ES"/>
        </w:rPr>
        <w:t>Una mirada al pasado y un proyecto de futuro. Investigación e innovación en didáctica de las ciencias sociales</w:t>
      </w:r>
      <w:r w:rsidR="003D6BBA">
        <w:rPr>
          <w:i/>
          <w:lang w:val="es-ES"/>
        </w:rPr>
        <w:t xml:space="preserve"> </w:t>
      </w:r>
      <w:r w:rsidR="003D6BBA">
        <w:rPr>
          <w:lang w:val="es-ES"/>
        </w:rPr>
        <w:t>(</w:t>
      </w:r>
      <w:r w:rsidRPr="004116EE">
        <w:rPr>
          <w:lang w:val="es-ES"/>
        </w:rPr>
        <w:t>295-304</w:t>
      </w:r>
      <w:r w:rsidR="003D6BBA">
        <w:rPr>
          <w:lang w:val="es-ES"/>
        </w:rPr>
        <w:t>)</w:t>
      </w:r>
      <w:r w:rsidRPr="004116EE">
        <w:rPr>
          <w:lang w:val="es-ES"/>
        </w:rPr>
        <w:t>.</w:t>
      </w:r>
      <w:r w:rsidR="003D6BBA">
        <w:rPr>
          <w:lang w:val="es-ES"/>
        </w:rPr>
        <w:t xml:space="preserve"> Barcelona: </w:t>
      </w:r>
      <w:r w:rsidRPr="004116EE">
        <w:rPr>
          <w:lang w:val="es-ES"/>
        </w:rPr>
        <w:t>Universitat Autònoma de Barcelona, Servei de Publicacions</w:t>
      </w:r>
      <w:r w:rsidR="003D6BBA">
        <w:rPr>
          <w:lang w:val="es-ES"/>
        </w:rPr>
        <w:t>.</w:t>
      </w:r>
    </w:p>
    <w:p w14:paraId="35945632" w14:textId="77777777" w:rsidR="004116EE" w:rsidRPr="004116EE" w:rsidRDefault="004116EE" w:rsidP="003D6BBA">
      <w:pPr>
        <w:pStyle w:val="TextoNormal"/>
        <w:ind w:left="567" w:hanging="567"/>
        <w:rPr>
          <w:lang w:val="es-ES"/>
        </w:rPr>
      </w:pPr>
      <w:r w:rsidRPr="004116EE">
        <w:rPr>
          <w:lang w:val="es-ES"/>
        </w:rPr>
        <w:t xml:space="preserve">Pavié, A. (2011). Formación docente: hacia una definición del concepto de competencia profesional docente. </w:t>
      </w:r>
      <w:r w:rsidR="003D6BBA" w:rsidRPr="003D6BBA">
        <w:rPr>
          <w:i/>
        </w:rPr>
        <w:t>Revista Electrónica Internuniversitaria de Formación del Profesorado</w:t>
      </w:r>
      <w:r w:rsidRPr="004116EE">
        <w:rPr>
          <w:lang w:val="es-ES"/>
        </w:rPr>
        <w:t xml:space="preserve">, </w:t>
      </w:r>
      <w:r w:rsidRPr="003D6BBA">
        <w:rPr>
          <w:i/>
          <w:lang w:val="es-ES"/>
        </w:rPr>
        <w:t>14</w:t>
      </w:r>
      <w:r w:rsidR="003D6BBA">
        <w:rPr>
          <w:lang w:val="es-ES"/>
        </w:rPr>
        <w:t>(1), 67-80</w:t>
      </w:r>
      <w:r w:rsidRPr="004116EE">
        <w:rPr>
          <w:lang w:val="es-ES"/>
        </w:rPr>
        <w:t>.</w:t>
      </w:r>
    </w:p>
    <w:p w14:paraId="16BB8B71" w14:textId="77777777" w:rsidR="004116EE" w:rsidRPr="004116EE" w:rsidRDefault="004116EE" w:rsidP="003D6BBA">
      <w:pPr>
        <w:pStyle w:val="TextoNormal"/>
        <w:ind w:left="567" w:hanging="567"/>
        <w:rPr>
          <w:lang w:val="es-ES"/>
        </w:rPr>
      </w:pPr>
      <w:r w:rsidRPr="004116EE">
        <w:rPr>
          <w:lang w:val="es-ES"/>
        </w:rPr>
        <w:t xml:space="preserve">Peinado, M., </w:t>
      </w:r>
      <w:r w:rsidR="003D6BBA">
        <w:rPr>
          <w:lang w:val="es-ES"/>
        </w:rPr>
        <w:t>y</w:t>
      </w:r>
      <w:r w:rsidRPr="004116EE">
        <w:rPr>
          <w:lang w:val="es-ES"/>
        </w:rPr>
        <w:t xml:space="preserve"> Abril, A. M. (2016). El Máster en Profesorado de Secundaria desde dentro: expectativas y realidades del Prácticum. </w:t>
      </w:r>
      <w:r w:rsidRPr="004116EE">
        <w:rPr>
          <w:i/>
          <w:lang w:val="es-ES"/>
        </w:rPr>
        <w:t>Didáctica de las Ciencias Experimentales y Sociales</w:t>
      </w:r>
      <w:r w:rsidRPr="004116EE">
        <w:rPr>
          <w:lang w:val="es-ES"/>
        </w:rPr>
        <w:t xml:space="preserve">, </w:t>
      </w:r>
      <w:r w:rsidRPr="003D6BBA">
        <w:rPr>
          <w:i/>
          <w:lang w:val="es-ES"/>
        </w:rPr>
        <w:t>30</w:t>
      </w:r>
      <w:r w:rsidRPr="004116EE">
        <w:rPr>
          <w:lang w:val="es-ES"/>
        </w:rPr>
        <w:t xml:space="preserve">, 5-22. </w:t>
      </w:r>
      <w:hyperlink r:id="rId12" w:history="1">
        <w:r w:rsidR="003D6BBA" w:rsidRPr="003D6BBA">
          <w:rPr>
            <w:rStyle w:val="Hipervnculo"/>
            <w:lang w:val="es-ES"/>
          </w:rPr>
          <w:t xml:space="preserve">DOI: </w:t>
        </w:r>
        <w:r w:rsidRPr="003D6BBA">
          <w:rPr>
            <w:rStyle w:val="Hipervnculo"/>
            <w:lang w:val="es-ES"/>
          </w:rPr>
          <w:t>10.7203/dces.30.6811</w:t>
        </w:r>
      </w:hyperlink>
    </w:p>
    <w:p w14:paraId="33E12845" w14:textId="77777777" w:rsidR="004116EE" w:rsidRPr="004116EE" w:rsidRDefault="004116EE" w:rsidP="003D6BBA">
      <w:pPr>
        <w:pStyle w:val="TextoNormal"/>
        <w:ind w:left="567" w:hanging="567"/>
        <w:rPr>
          <w:lang w:val="es-ES"/>
        </w:rPr>
      </w:pPr>
      <w:r w:rsidRPr="004116EE">
        <w:rPr>
          <w:lang w:val="es-ES"/>
        </w:rPr>
        <w:t xml:space="preserve">Perrenoud, P. (2004). </w:t>
      </w:r>
      <w:r w:rsidRPr="003D6BBA">
        <w:rPr>
          <w:i/>
          <w:lang w:val="es-ES"/>
        </w:rPr>
        <w:t>Diez nuevas competencias para enseñar</w:t>
      </w:r>
      <w:r w:rsidRPr="004116EE">
        <w:rPr>
          <w:lang w:val="es-ES"/>
        </w:rPr>
        <w:t>. Barcelona: Graó.</w:t>
      </w:r>
    </w:p>
    <w:p w14:paraId="5FD2BE13" w14:textId="77777777" w:rsidR="004116EE" w:rsidRPr="004116EE" w:rsidRDefault="004116EE" w:rsidP="003D6BBA">
      <w:pPr>
        <w:pStyle w:val="TextoNormal"/>
        <w:ind w:left="567" w:hanging="567"/>
        <w:rPr>
          <w:lang w:val="es-ES"/>
        </w:rPr>
      </w:pPr>
      <w:r w:rsidRPr="004116EE">
        <w:rPr>
          <w:lang w:val="es-ES"/>
        </w:rPr>
        <w:t xml:space="preserve">Rivero, P. </w:t>
      </w:r>
      <w:r w:rsidR="003D6BBA">
        <w:rPr>
          <w:lang w:val="es-ES"/>
        </w:rPr>
        <w:t>y</w:t>
      </w:r>
      <w:r w:rsidRPr="004116EE">
        <w:rPr>
          <w:lang w:val="es-ES"/>
        </w:rPr>
        <w:t xml:space="preserve"> Souto, X.</w:t>
      </w:r>
      <w:r w:rsidR="003D6BBA">
        <w:rPr>
          <w:lang w:val="es-ES"/>
        </w:rPr>
        <w:t xml:space="preserve"> M.</w:t>
      </w:r>
      <w:r w:rsidRPr="004116EE">
        <w:rPr>
          <w:lang w:val="es-ES"/>
        </w:rPr>
        <w:t xml:space="preserve"> (2019). El máster de profesorado de educación secundaria. Una visión desde la especialidad de geografía e historia. </w:t>
      </w:r>
      <w:r w:rsidRPr="003D6BBA">
        <w:rPr>
          <w:i/>
          <w:lang w:val="es-ES"/>
        </w:rPr>
        <w:t>Íber Didáctica de las Ciencias Sociales, Geografía e Historia</w:t>
      </w:r>
      <w:r w:rsidRPr="004116EE">
        <w:rPr>
          <w:lang w:val="es-ES"/>
        </w:rPr>
        <w:t xml:space="preserve">, </w:t>
      </w:r>
      <w:r w:rsidRPr="003D6BBA">
        <w:rPr>
          <w:i/>
          <w:lang w:val="es-ES"/>
        </w:rPr>
        <w:t>97</w:t>
      </w:r>
      <w:r w:rsidRPr="004116EE">
        <w:rPr>
          <w:lang w:val="es-ES"/>
        </w:rPr>
        <w:t>, 41-50.</w:t>
      </w:r>
    </w:p>
    <w:p w14:paraId="32D2C508" w14:textId="77777777" w:rsidR="004116EE" w:rsidRPr="004116EE" w:rsidRDefault="004116EE" w:rsidP="003D6BBA">
      <w:pPr>
        <w:pStyle w:val="TextoNormal"/>
        <w:ind w:left="567" w:hanging="567"/>
        <w:rPr>
          <w:lang w:val="es-ES"/>
        </w:rPr>
      </w:pPr>
      <w:r w:rsidRPr="004116EE">
        <w:rPr>
          <w:lang w:val="es-ES"/>
        </w:rPr>
        <w:t>Sarcedo-Gorgoso, M.</w:t>
      </w:r>
      <w:r w:rsidR="003D6BBA">
        <w:rPr>
          <w:lang w:val="es-ES"/>
        </w:rPr>
        <w:t xml:space="preserve"> </w:t>
      </w:r>
      <w:r w:rsidRPr="004116EE">
        <w:rPr>
          <w:lang w:val="es-ES"/>
        </w:rPr>
        <w:t>C., Santos-González, M.</w:t>
      </w:r>
      <w:r w:rsidR="003D6BBA">
        <w:rPr>
          <w:lang w:val="es-ES"/>
        </w:rPr>
        <w:t xml:space="preserve"> </w:t>
      </w:r>
      <w:r w:rsidRPr="004116EE">
        <w:rPr>
          <w:lang w:val="es-ES"/>
        </w:rPr>
        <w:t xml:space="preserve">C. y Rego-Agraso, L. (2020). Las competencias docentes en la formación del profesorado de educación secundaria. </w:t>
      </w:r>
      <w:r w:rsidRPr="004116EE">
        <w:rPr>
          <w:i/>
          <w:iCs/>
          <w:lang w:val="es-ES"/>
        </w:rPr>
        <w:t xml:space="preserve">Profesorado. Revista de </w:t>
      </w:r>
      <w:r w:rsidRPr="004116EE">
        <w:rPr>
          <w:i/>
          <w:iCs/>
          <w:lang w:val="es-ES"/>
        </w:rPr>
        <w:lastRenderedPageBreak/>
        <w:t>Currículum y Formación de Profesorado</w:t>
      </w:r>
      <w:r w:rsidRPr="004116EE">
        <w:rPr>
          <w:lang w:val="es-ES"/>
        </w:rPr>
        <w:t xml:space="preserve">, </w:t>
      </w:r>
      <w:r w:rsidRPr="004116EE">
        <w:rPr>
          <w:i/>
          <w:iCs/>
          <w:lang w:val="es-ES"/>
        </w:rPr>
        <w:t>24</w:t>
      </w:r>
      <w:r w:rsidRPr="004116EE">
        <w:rPr>
          <w:lang w:val="es-ES"/>
        </w:rPr>
        <w:t xml:space="preserve">(3), 401-421. </w:t>
      </w:r>
      <w:hyperlink r:id="rId13" w:history="1">
        <w:r w:rsidR="003D6BBA" w:rsidRPr="003D6BBA">
          <w:rPr>
            <w:rStyle w:val="Hipervnculo"/>
            <w:lang w:val="es-ES"/>
          </w:rPr>
          <w:t xml:space="preserve">DOI: </w:t>
        </w:r>
        <w:r w:rsidR="003D6BBA" w:rsidRPr="003D6BBA">
          <w:rPr>
            <w:rStyle w:val="Hipervnculo"/>
          </w:rPr>
          <w:t>10.30827/profesorado.v24i3.8260</w:t>
        </w:r>
      </w:hyperlink>
      <w:r w:rsidR="003D6BBA" w:rsidRPr="003D6BBA">
        <w:t xml:space="preserve"> </w:t>
      </w:r>
    </w:p>
    <w:p w14:paraId="5ADD8D7C" w14:textId="77777777" w:rsidR="009739A7" w:rsidRPr="009739A7" w:rsidRDefault="009739A7" w:rsidP="009739A7">
      <w:pPr>
        <w:pStyle w:val="TextoNormal"/>
        <w:ind w:left="567" w:hanging="567"/>
        <w:rPr>
          <w:lang w:val="es-ES"/>
        </w:rPr>
      </w:pPr>
      <w:r w:rsidRPr="009739A7">
        <w:rPr>
          <w:lang w:val="es-ES"/>
        </w:rPr>
        <w:t xml:space="preserve">Serrano, R., </w:t>
      </w:r>
      <w:r w:rsidR="00D65F7D">
        <w:rPr>
          <w:lang w:val="es-ES"/>
        </w:rPr>
        <w:t>y</w:t>
      </w:r>
      <w:r w:rsidRPr="009739A7">
        <w:rPr>
          <w:lang w:val="es-ES"/>
        </w:rPr>
        <w:t xml:space="preserve"> Pontes, A. (2017). Diferencias entre expectativas y logros en las competencias del Prácticum del Máster de Formación del Profesorado de Enseñanza Secundaria. </w:t>
      </w:r>
      <w:r w:rsidRPr="009739A7">
        <w:rPr>
          <w:i/>
          <w:iCs/>
          <w:lang w:val="es-ES"/>
        </w:rPr>
        <w:t>Revista Electrónica Interuniversitaria de Formación del Profesorado</w:t>
      </w:r>
      <w:r w:rsidRPr="009739A7">
        <w:rPr>
          <w:lang w:val="es-ES"/>
        </w:rPr>
        <w:t xml:space="preserve">, </w:t>
      </w:r>
      <w:r w:rsidRPr="009739A7">
        <w:rPr>
          <w:i/>
          <w:iCs/>
          <w:lang w:val="es-ES"/>
        </w:rPr>
        <w:t>20</w:t>
      </w:r>
      <w:r w:rsidRPr="009739A7">
        <w:rPr>
          <w:lang w:val="es-ES"/>
        </w:rPr>
        <w:t xml:space="preserve">(1), 1–18. </w:t>
      </w:r>
      <w:hyperlink r:id="rId14" w:history="1">
        <w:r w:rsidRPr="009739A7">
          <w:rPr>
            <w:rStyle w:val="Hipervnculo"/>
            <w:lang w:val="es-ES"/>
          </w:rPr>
          <w:t>DOI: 10.6018/reifop/20.1.235151</w:t>
        </w:r>
      </w:hyperlink>
    </w:p>
    <w:p w14:paraId="0089B620" w14:textId="77777777" w:rsidR="004116EE" w:rsidRPr="004116EE" w:rsidRDefault="004116EE" w:rsidP="003D6BBA">
      <w:pPr>
        <w:pStyle w:val="TextoNormal"/>
        <w:ind w:left="567" w:hanging="567"/>
        <w:rPr>
          <w:lang w:val="es-ES"/>
        </w:rPr>
      </w:pPr>
      <w:r w:rsidRPr="004116EE">
        <w:rPr>
          <w:lang w:val="es-ES"/>
        </w:rPr>
        <w:t xml:space="preserve">Sola, J. M., Marin Marin, J. A., Alonso Garcia, S., </w:t>
      </w:r>
      <w:r w:rsidR="003D6BBA">
        <w:rPr>
          <w:lang w:val="es-ES"/>
        </w:rPr>
        <w:t>y</w:t>
      </w:r>
      <w:r w:rsidRPr="004116EE">
        <w:rPr>
          <w:lang w:val="es-ES"/>
        </w:rPr>
        <w:t xml:space="preserve"> Gomez Garcia, G. (2020). </w:t>
      </w:r>
      <w:r w:rsidR="003D6BBA" w:rsidRPr="004116EE">
        <w:rPr>
          <w:lang w:val="es-ES"/>
        </w:rPr>
        <w:t>Análisis</w:t>
      </w:r>
      <w:r w:rsidRPr="004116EE">
        <w:rPr>
          <w:lang w:val="es-ES"/>
        </w:rPr>
        <w:t xml:space="preserve"> de percepciones del estudiantado del Máster de Secundaria respecto a las competencias profesionales del docente. </w:t>
      </w:r>
      <w:r w:rsidRPr="003D6BBA">
        <w:rPr>
          <w:i/>
          <w:lang w:val="es-ES"/>
        </w:rPr>
        <w:t>Revista Electrónica Interuniversitaria de Formación del Profesorado</w:t>
      </w:r>
      <w:r w:rsidRPr="004116EE">
        <w:rPr>
          <w:lang w:val="es-ES"/>
        </w:rPr>
        <w:t xml:space="preserve">, </w:t>
      </w:r>
      <w:r w:rsidRPr="003D6BBA">
        <w:rPr>
          <w:i/>
          <w:lang w:val="es-ES"/>
        </w:rPr>
        <w:t>23</w:t>
      </w:r>
      <w:r w:rsidRPr="004116EE">
        <w:rPr>
          <w:lang w:val="es-ES"/>
        </w:rPr>
        <w:t>(2), 81‐93.</w:t>
      </w:r>
      <w:r w:rsidR="003D6BBA" w:rsidRPr="003D6BBA">
        <w:t xml:space="preserve"> </w:t>
      </w:r>
      <w:hyperlink r:id="rId15" w:history="1">
        <w:r w:rsidR="003D6BBA">
          <w:rPr>
            <w:rStyle w:val="Hipervnculo"/>
          </w:rPr>
          <w:t xml:space="preserve">DOI: 10.6018/reifop.418601 </w:t>
        </w:r>
      </w:hyperlink>
    </w:p>
    <w:p w14:paraId="3E1CA891" w14:textId="77777777" w:rsidR="00D6583C" w:rsidRPr="00D6583C" w:rsidRDefault="00D6583C" w:rsidP="003D6BBA">
      <w:pPr>
        <w:pStyle w:val="TextoNormal"/>
        <w:ind w:left="567" w:hanging="567"/>
        <w:rPr>
          <w:lang w:val="es-ES"/>
        </w:rPr>
      </w:pPr>
      <w:r w:rsidRPr="00D6583C">
        <w:rPr>
          <w:lang w:val="es-ES"/>
        </w:rPr>
        <w:t>Suárez</w:t>
      </w:r>
      <w:r>
        <w:rPr>
          <w:lang w:val="es-ES"/>
        </w:rPr>
        <w:t xml:space="preserve">, M. A. (2010). </w:t>
      </w:r>
      <w:r w:rsidRPr="00D6583C">
        <w:rPr>
          <w:lang w:val="es-ES"/>
        </w:rPr>
        <w:t>Enseñanza de la Historia: viejos problemas y necesidad de un cambio. Reflexión de un alumno del Mást</w:t>
      </w:r>
      <w:r>
        <w:rPr>
          <w:lang w:val="es-ES"/>
        </w:rPr>
        <w:t>er de Profesorado de Secundaria</w:t>
      </w:r>
      <w:r w:rsidRPr="00D6583C">
        <w:rPr>
          <w:lang w:val="es-ES"/>
        </w:rPr>
        <w:t xml:space="preserve">, </w:t>
      </w:r>
      <w:r w:rsidRPr="00D6583C">
        <w:rPr>
          <w:i/>
          <w:lang w:val="es-ES"/>
        </w:rPr>
        <w:t>Proyecto CLIO</w:t>
      </w:r>
      <w:r w:rsidRPr="00D6583C">
        <w:rPr>
          <w:lang w:val="es-ES"/>
        </w:rPr>
        <w:t xml:space="preserve">, </w:t>
      </w:r>
      <w:r w:rsidRPr="00D6583C">
        <w:rPr>
          <w:i/>
          <w:lang w:val="es-ES"/>
        </w:rPr>
        <w:t>36</w:t>
      </w:r>
      <w:r w:rsidRPr="00D6583C">
        <w:rPr>
          <w:lang w:val="es-ES"/>
        </w:rPr>
        <w:t>.</w:t>
      </w:r>
    </w:p>
    <w:p w14:paraId="6C7B8C54" w14:textId="77777777" w:rsidR="004116EE" w:rsidRPr="004116EE" w:rsidRDefault="003D6BBA" w:rsidP="003D6BBA">
      <w:pPr>
        <w:pStyle w:val="TextoNormal"/>
        <w:ind w:left="567" w:hanging="567"/>
        <w:rPr>
          <w:lang w:val="es-ES"/>
        </w:rPr>
      </w:pPr>
      <w:r>
        <w:rPr>
          <w:lang w:val="es-ES"/>
        </w:rPr>
        <w:t>Tejada, J. y</w:t>
      </w:r>
      <w:r w:rsidR="004116EE" w:rsidRPr="004116EE">
        <w:rPr>
          <w:lang w:val="es-ES"/>
        </w:rPr>
        <w:t xml:space="preserve"> Ruiz Bueno, C. (2013). Significación del prácticum en la adquisición de competencias profesionales que permiten la transferencia de conocimiento a ámbitos propios de la acción docente. </w:t>
      </w:r>
      <w:r w:rsidRPr="004116EE">
        <w:rPr>
          <w:i/>
          <w:iCs/>
          <w:lang w:val="es-ES"/>
        </w:rPr>
        <w:t>Profesorado. Revista de Currículum y Formación de Profesorado</w:t>
      </w:r>
      <w:r w:rsidR="004116EE" w:rsidRPr="004116EE">
        <w:rPr>
          <w:lang w:val="es-ES"/>
        </w:rPr>
        <w:t xml:space="preserve">, </w:t>
      </w:r>
      <w:r w:rsidR="004116EE" w:rsidRPr="003D6BBA">
        <w:rPr>
          <w:i/>
          <w:lang w:val="es-ES"/>
        </w:rPr>
        <w:t>17</w:t>
      </w:r>
      <w:r w:rsidR="004116EE" w:rsidRPr="004116EE">
        <w:rPr>
          <w:lang w:val="es-ES"/>
        </w:rPr>
        <w:t>(3), 91-110.</w:t>
      </w:r>
    </w:p>
    <w:p w14:paraId="163A586C" w14:textId="78CAAAE6" w:rsidR="004116EE" w:rsidRPr="002315C9" w:rsidRDefault="004116EE" w:rsidP="00FB4994">
      <w:pPr>
        <w:pStyle w:val="TextoNormal"/>
        <w:ind w:left="567" w:hanging="567"/>
        <w:rPr>
          <w:lang w:val="es-ES"/>
        </w:rPr>
      </w:pPr>
      <w:r w:rsidRPr="004116EE">
        <w:rPr>
          <w:lang w:val="es-ES"/>
        </w:rPr>
        <w:t xml:space="preserve">Tribó, G. (2008). El nuevo perfil profesional de los profesores de secundaria. </w:t>
      </w:r>
      <w:r w:rsidR="003D6BBA">
        <w:rPr>
          <w:i/>
          <w:lang w:val="es-ES"/>
        </w:rPr>
        <w:t>Educación XX1</w:t>
      </w:r>
      <w:r w:rsidRPr="004116EE">
        <w:rPr>
          <w:lang w:val="es-ES"/>
        </w:rPr>
        <w:t>,</w:t>
      </w:r>
      <w:r w:rsidR="003D6BBA">
        <w:rPr>
          <w:lang w:val="es-ES"/>
        </w:rPr>
        <w:t xml:space="preserve"> </w:t>
      </w:r>
      <w:r w:rsidRPr="003D6BBA">
        <w:rPr>
          <w:i/>
          <w:lang w:val="es-ES"/>
        </w:rPr>
        <w:t>11</w:t>
      </w:r>
      <w:r w:rsidRPr="004116EE">
        <w:rPr>
          <w:lang w:val="es-ES"/>
        </w:rPr>
        <w:t>, 183-209.</w:t>
      </w:r>
    </w:p>
    <w:p w14:paraId="575EE786" w14:textId="77777777" w:rsidR="002315C9" w:rsidRDefault="002315C9" w:rsidP="000156AB">
      <w:pPr>
        <w:pStyle w:val="TextoNormal"/>
      </w:pPr>
    </w:p>
    <w:p w14:paraId="6EE4D3AC" w14:textId="77777777"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116EC4FE" wp14:editId="6187F546">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59F2CDD0" w14:textId="77777777" w:rsidR="00A8776B" w:rsidRPr="00BD2105" w:rsidRDefault="00A8776B"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2CE8704" w14:textId="77777777" w:rsidR="00A8776B" w:rsidRPr="00BD2105" w:rsidRDefault="00A8776B" w:rsidP="00D32905">
                            <w:pPr>
                              <w:pStyle w:val="Notaalpie"/>
                            </w:pPr>
                          </w:p>
                          <w:p w14:paraId="581E9837" w14:textId="77777777" w:rsidR="00A8776B" w:rsidRPr="00BD2105" w:rsidRDefault="00A8776B"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EC4FE"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59F2CDD0" w14:textId="77777777" w:rsidR="00A8776B" w:rsidRPr="00BD2105" w:rsidRDefault="00A8776B"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2CE8704" w14:textId="77777777" w:rsidR="00A8776B" w:rsidRPr="00BD2105" w:rsidRDefault="00A8776B" w:rsidP="00D32905">
                      <w:pPr>
                        <w:pStyle w:val="Notaalpie"/>
                      </w:pPr>
                    </w:p>
                    <w:p w14:paraId="581E9837" w14:textId="77777777" w:rsidR="00A8776B" w:rsidRPr="00BD2105" w:rsidRDefault="00A8776B" w:rsidP="00D32905">
                      <w:pPr>
                        <w:pStyle w:val="TextoNormal"/>
                        <w:ind w:firstLine="0"/>
                        <w:rPr>
                          <w:sz w:val="18"/>
                        </w:rPr>
                      </w:pPr>
                    </w:p>
                  </w:txbxContent>
                </v:textbox>
                <w10:wrap anchorx="margin"/>
              </v:shape>
            </w:pict>
          </mc:Fallback>
        </mc:AlternateContent>
      </w:r>
    </w:p>
    <w:p w14:paraId="4DF3F362" w14:textId="30E7E11C" w:rsidR="004E5EC5" w:rsidRDefault="004E5EC5" w:rsidP="000156AB">
      <w:pPr>
        <w:pStyle w:val="phmheadingnonumber"/>
        <w:spacing w:before="0" w:after="0"/>
        <w:rPr>
          <w:lang w:val="es-ES_tradnl"/>
        </w:rPr>
      </w:pPr>
    </w:p>
    <w:sectPr w:rsidR="004E5EC5" w:rsidSect="00B47707">
      <w:headerReference w:type="default" r:id="rId16"/>
      <w:footerReference w:type="default" r:id="rId17"/>
      <w:footerReference w:type="first" r:id="rId18"/>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026A5" w14:textId="77777777" w:rsidR="009153E6" w:rsidRDefault="009153E6" w:rsidP="008144CC">
      <w:r>
        <w:separator/>
      </w:r>
    </w:p>
  </w:endnote>
  <w:endnote w:type="continuationSeparator" w:id="0">
    <w:p w14:paraId="5DF652E9" w14:textId="77777777" w:rsidR="009153E6" w:rsidRDefault="009153E6"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329E6" w14:textId="4EDCF4F4" w:rsidR="00A8776B" w:rsidRPr="00D32905" w:rsidRDefault="00A8776B"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15D92224" wp14:editId="45FF6A63">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3CA16"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número, año, pp. XX-XX - ISSNe</w:t>
    </w:r>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164C3F">
      <w:rPr>
        <w:b/>
        <w:noProof/>
        <w:color w:val="984806" w:themeColor="accent6" w:themeShade="80"/>
      </w:rPr>
      <w:t>4</w:t>
    </w:r>
    <w:r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220A181D" w14:textId="50C5C2D1" w:rsidR="00A8776B" w:rsidRPr="00BB6266" w:rsidRDefault="00A8776B"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72A1315A" wp14:editId="2CEF3E49">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71354245" wp14:editId="233C4369">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A37DD"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164C3F" w:rsidRPr="00164C3F">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0EB37" w14:textId="77777777" w:rsidR="009153E6" w:rsidRDefault="009153E6" w:rsidP="008144CC">
      <w:r>
        <w:separator/>
      </w:r>
    </w:p>
  </w:footnote>
  <w:footnote w:type="continuationSeparator" w:id="0">
    <w:p w14:paraId="5788B80D" w14:textId="77777777" w:rsidR="009153E6" w:rsidRDefault="009153E6" w:rsidP="008144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932E" w14:textId="3D29E365" w:rsidR="00A8776B" w:rsidRPr="00894664" w:rsidRDefault="00164C3F" w:rsidP="00894664">
    <w:pPr>
      <w:pStyle w:val="Encabezado"/>
      <w:jc w:val="right"/>
      <w:rPr>
        <w:rFonts w:asciiTheme="minorHAnsi" w:hAnsiTheme="minorHAnsi"/>
        <w:i/>
        <w:sz w:val="18"/>
        <w:szCs w:val="18"/>
      </w:rPr>
    </w:pPr>
    <w:r>
      <w:rPr>
        <w:rFonts w:asciiTheme="minorHAnsi" w:hAnsiTheme="minorHAnsi"/>
        <w:b/>
        <w:i/>
        <w:sz w:val="18"/>
        <w:szCs w:val="18"/>
        <w:highlight w:val="lightGray"/>
      </w:rPr>
      <w:t xml:space="preserve">MARTÍNEZ FERREIRA ET AL., </w:t>
    </w:r>
    <w:r w:rsidRPr="00164C3F">
      <w:rPr>
        <w:rFonts w:asciiTheme="minorHAnsi" w:hAnsiTheme="minorHAnsi"/>
        <w:b/>
        <w:i/>
        <w:sz w:val="18"/>
        <w:szCs w:val="18"/>
        <w:highlight w:val="lightGray"/>
        <w:lang w:val="es-ES"/>
      </w:rPr>
      <w:t>Importancia y dominio percibido de competencias docentes en el Prácticum</w:t>
    </w:r>
    <w:r w:rsidR="00A8776B">
      <w:rPr>
        <w:rFonts w:asciiTheme="minorHAnsi" w:hAnsiTheme="minorHAnsi"/>
        <w:b/>
        <w:i/>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9C"/>
    <w:rsid w:val="0000321C"/>
    <w:rsid w:val="000032E0"/>
    <w:rsid w:val="000050D2"/>
    <w:rsid w:val="00005BF4"/>
    <w:rsid w:val="0001087E"/>
    <w:rsid w:val="000156AB"/>
    <w:rsid w:val="00015C2E"/>
    <w:rsid w:val="00026BE7"/>
    <w:rsid w:val="00031D2D"/>
    <w:rsid w:val="00034CF5"/>
    <w:rsid w:val="000359B9"/>
    <w:rsid w:val="00040501"/>
    <w:rsid w:val="000536B8"/>
    <w:rsid w:val="000543C0"/>
    <w:rsid w:val="000561F7"/>
    <w:rsid w:val="00056C35"/>
    <w:rsid w:val="00057B63"/>
    <w:rsid w:val="00061692"/>
    <w:rsid w:val="00065018"/>
    <w:rsid w:val="000657C3"/>
    <w:rsid w:val="000867CC"/>
    <w:rsid w:val="0009337E"/>
    <w:rsid w:val="000944EA"/>
    <w:rsid w:val="00094601"/>
    <w:rsid w:val="000962FC"/>
    <w:rsid w:val="000A139C"/>
    <w:rsid w:val="000A7728"/>
    <w:rsid w:val="000B1B39"/>
    <w:rsid w:val="000B4458"/>
    <w:rsid w:val="000B45B1"/>
    <w:rsid w:val="000B7A4F"/>
    <w:rsid w:val="000C0444"/>
    <w:rsid w:val="000C5181"/>
    <w:rsid w:val="000C521E"/>
    <w:rsid w:val="000C5472"/>
    <w:rsid w:val="000C55C5"/>
    <w:rsid w:val="000D0A6D"/>
    <w:rsid w:val="000D0B13"/>
    <w:rsid w:val="000D1DFE"/>
    <w:rsid w:val="000D3B30"/>
    <w:rsid w:val="000D4DA0"/>
    <w:rsid w:val="000E4D43"/>
    <w:rsid w:val="000E76EC"/>
    <w:rsid w:val="000F5744"/>
    <w:rsid w:val="00105693"/>
    <w:rsid w:val="00105A72"/>
    <w:rsid w:val="00106C04"/>
    <w:rsid w:val="0010754E"/>
    <w:rsid w:val="00107C6A"/>
    <w:rsid w:val="00107D31"/>
    <w:rsid w:val="001119E7"/>
    <w:rsid w:val="00123234"/>
    <w:rsid w:val="001261A8"/>
    <w:rsid w:val="00132E72"/>
    <w:rsid w:val="0013331D"/>
    <w:rsid w:val="001350BC"/>
    <w:rsid w:val="00135328"/>
    <w:rsid w:val="00145658"/>
    <w:rsid w:val="001469D4"/>
    <w:rsid w:val="001503F1"/>
    <w:rsid w:val="0015748E"/>
    <w:rsid w:val="001623B5"/>
    <w:rsid w:val="00164C3F"/>
    <w:rsid w:val="00167DEE"/>
    <w:rsid w:val="001719A1"/>
    <w:rsid w:val="00174F9A"/>
    <w:rsid w:val="00182773"/>
    <w:rsid w:val="0018349F"/>
    <w:rsid w:val="00184FF7"/>
    <w:rsid w:val="001860BF"/>
    <w:rsid w:val="00192522"/>
    <w:rsid w:val="00194098"/>
    <w:rsid w:val="001948FF"/>
    <w:rsid w:val="0019582D"/>
    <w:rsid w:val="00196B78"/>
    <w:rsid w:val="001A003A"/>
    <w:rsid w:val="001A4B99"/>
    <w:rsid w:val="001A7340"/>
    <w:rsid w:val="001B14E9"/>
    <w:rsid w:val="001B3E82"/>
    <w:rsid w:val="001B59CB"/>
    <w:rsid w:val="001C58FD"/>
    <w:rsid w:val="001E007B"/>
    <w:rsid w:val="001E1404"/>
    <w:rsid w:val="001E6CAC"/>
    <w:rsid w:val="001F3153"/>
    <w:rsid w:val="001F3298"/>
    <w:rsid w:val="001F4945"/>
    <w:rsid w:val="001F4EB9"/>
    <w:rsid w:val="00201360"/>
    <w:rsid w:val="00201404"/>
    <w:rsid w:val="002025C4"/>
    <w:rsid w:val="0020536A"/>
    <w:rsid w:val="002074EB"/>
    <w:rsid w:val="00207F76"/>
    <w:rsid w:val="00216D9B"/>
    <w:rsid w:val="00223E18"/>
    <w:rsid w:val="00224802"/>
    <w:rsid w:val="0022710B"/>
    <w:rsid w:val="00230BA4"/>
    <w:rsid w:val="002315C9"/>
    <w:rsid w:val="00240E5F"/>
    <w:rsid w:val="00247A33"/>
    <w:rsid w:val="00256DA7"/>
    <w:rsid w:val="00262866"/>
    <w:rsid w:val="0026579B"/>
    <w:rsid w:val="00267FD0"/>
    <w:rsid w:val="00270A24"/>
    <w:rsid w:val="002739DE"/>
    <w:rsid w:val="00274195"/>
    <w:rsid w:val="00275783"/>
    <w:rsid w:val="0028356C"/>
    <w:rsid w:val="00292DA8"/>
    <w:rsid w:val="00294FCC"/>
    <w:rsid w:val="00295189"/>
    <w:rsid w:val="00297D22"/>
    <w:rsid w:val="00297ED7"/>
    <w:rsid w:val="002A1DE1"/>
    <w:rsid w:val="002A21D4"/>
    <w:rsid w:val="002B0E45"/>
    <w:rsid w:val="002B5023"/>
    <w:rsid w:val="002B6BA8"/>
    <w:rsid w:val="002B719F"/>
    <w:rsid w:val="002B77C1"/>
    <w:rsid w:val="002C2DA8"/>
    <w:rsid w:val="002C6AEB"/>
    <w:rsid w:val="002D0950"/>
    <w:rsid w:val="002D488F"/>
    <w:rsid w:val="002D5BD3"/>
    <w:rsid w:val="002E648D"/>
    <w:rsid w:val="002F3705"/>
    <w:rsid w:val="003031F8"/>
    <w:rsid w:val="00312FDC"/>
    <w:rsid w:val="00317FE9"/>
    <w:rsid w:val="00320CCC"/>
    <w:rsid w:val="00346C15"/>
    <w:rsid w:val="00352B81"/>
    <w:rsid w:val="00353921"/>
    <w:rsid w:val="003545F1"/>
    <w:rsid w:val="003554CC"/>
    <w:rsid w:val="0035670A"/>
    <w:rsid w:val="00363B84"/>
    <w:rsid w:val="0036697D"/>
    <w:rsid w:val="00373705"/>
    <w:rsid w:val="00375629"/>
    <w:rsid w:val="00377240"/>
    <w:rsid w:val="00377477"/>
    <w:rsid w:val="00377B68"/>
    <w:rsid w:val="0038019F"/>
    <w:rsid w:val="00380EA1"/>
    <w:rsid w:val="00384196"/>
    <w:rsid w:val="00391C39"/>
    <w:rsid w:val="00393782"/>
    <w:rsid w:val="00393CEF"/>
    <w:rsid w:val="003A165E"/>
    <w:rsid w:val="003A1BF0"/>
    <w:rsid w:val="003A7F2E"/>
    <w:rsid w:val="003B5585"/>
    <w:rsid w:val="003B56E5"/>
    <w:rsid w:val="003C1B4D"/>
    <w:rsid w:val="003C61FC"/>
    <w:rsid w:val="003D0FC8"/>
    <w:rsid w:val="003D24AE"/>
    <w:rsid w:val="003D273E"/>
    <w:rsid w:val="003D5288"/>
    <w:rsid w:val="003D6BBA"/>
    <w:rsid w:val="003E2C8E"/>
    <w:rsid w:val="004116EE"/>
    <w:rsid w:val="004235B4"/>
    <w:rsid w:val="004261BD"/>
    <w:rsid w:val="00427C47"/>
    <w:rsid w:val="00427CF5"/>
    <w:rsid w:val="004349EC"/>
    <w:rsid w:val="00435143"/>
    <w:rsid w:val="004374CB"/>
    <w:rsid w:val="00443419"/>
    <w:rsid w:val="004464E6"/>
    <w:rsid w:val="00451919"/>
    <w:rsid w:val="0045455A"/>
    <w:rsid w:val="0045458F"/>
    <w:rsid w:val="00454BAB"/>
    <w:rsid w:val="0045659A"/>
    <w:rsid w:val="00460FFA"/>
    <w:rsid w:val="0046410B"/>
    <w:rsid w:val="004652BD"/>
    <w:rsid w:val="00471387"/>
    <w:rsid w:val="0047187D"/>
    <w:rsid w:val="00481AE6"/>
    <w:rsid w:val="0049224D"/>
    <w:rsid w:val="00492514"/>
    <w:rsid w:val="00493BE7"/>
    <w:rsid w:val="004B00A7"/>
    <w:rsid w:val="004B410F"/>
    <w:rsid w:val="004C0729"/>
    <w:rsid w:val="004C0F5F"/>
    <w:rsid w:val="004C6342"/>
    <w:rsid w:val="004C6C58"/>
    <w:rsid w:val="004C7FFC"/>
    <w:rsid w:val="004D2E97"/>
    <w:rsid w:val="004E5EC5"/>
    <w:rsid w:val="004E61F3"/>
    <w:rsid w:val="004F132E"/>
    <w:rsid w:val="00503D55"/>
    <w:rsid w:val="00505800"/>
    <w:rsid w:val="005063B8"/>
    <w:rsid w:val="00507321"/>
    <w:rsid w:val="005111B9"/>
    <w:rsid w:val="00522637"/>
    <w:rsid w:val="00522775"/>
    <w:rsid w:val="00523AE6"/>
    <w:rsid w:val="00524B9D"/>
    <w:rsid w:val="00532FF9"/>
    <w:rsid w:val="005404EE"/>
    <w:rsid w:val="00541637"/>
    <w:rsid w:val="00541DEB"/>
    <w:rsid w:val="00550AC7"/>
    <w:rsid w:val="005548CB"/>
    <w:rsid w:val="00566918"/>
    <w:rsid w:val="00566D7B"/>
    <w:rsid w:val="0057149A"/>
    <w:rsid w:val="00580853"/>
    <w:rsid w:val="00590B80"/>
    <w:rsid w:val="005A231F"/>
    <w:rsid w:val="005A480E"/>
    <w:rsid w:val="005A66FA"/>
    <w:rsid w:val="005B1959"/>
    <w:rsid w:val="005B291E"/>
    <w:rsid w:val="005C0F0B"/>
    <w:rsid w:val="005C56C3"/>
    <w:rsid w:val="005C7364"/>
    <w:rsid w:val="005E41A7"/>
    <w:rsid w:val="00601035"/>
    <w:rsid w:val="00602395"/>
    <w:rsid w:val="00603DA6"/>
    <w:rsid w:val="00604CC6"/>
    <w:rsid w:val="00615486"/>
    <w:rsid w:val="00620BC6"/>
    <w:rsid w:val="00620E87"/>
    <w:rsid w:val="00632BCC"/>
    <w:rsid w:val="006342F8"/>
    <w:rsid w:val="00634445"/>
    <w:rsid w:val="00634966"/>
    <w:rsid w:val="00634F9F"/>
    <w:rsid w:val="006362E3"/>
    <w:rsid w:val="006439E1"/>
    <w:rsid w:val="0064488B"/>
    <w:rsid w:val="0064653F"/>
    <w:rsid w:val="00646FC5"/>
    <w:rsid w:val="00654593"/>
    <w:rsid w:val="00657827"/>
    <w:rsid w:val="006631C2"/>
    <w:rsid w:val="00664275"/>
    <w:rsid w:val="0066562B"/>
    <w:rsid w:val="0066604D"/>
    <w:rsid w:val="00666FD2"/>
    <w:rsid w:val="00667883"/>
    <w:rsid w:val="006739AB"/>
    <w:rsid w:val="00673B7F"/>
    <w:rsid w:val="00681E15"/>
    <w:rsid w:val="0068344E"/>
    <w:rsid w:val="0068545B"/>
    <w:rsid w:val="0068694B"/>
    <w:rsid w:val="006926B5"/>
    <w:rsid w:val="00693373"/>
    <w:rsid w:val="006936B4"/>
    <w:rsid w:val="006957F0"/>
    <w:rsid w:val="006A1CDA"/>
    <w:rsid w:val="006B04A7"/>
    <w:rsid w:val="006C219F"/>
    <w:rsid w:val="006C4896"/>
    <w:rsid w:val="006C4905"/>
    <w:rsid w:val="006D7488"/>
    <w:rsid w:val="006E7AC9"/>
    <w:rsid w:val="00721418"/>
    <w:rsid w:val="00726D2C"/>
    <w:rsid w:val="00727207"/>
    <w:rsid w:val="00732FFE"/>
    <w:rsid w:val="00744E8B"/>
    <w:rsid w:val="00750E50"/>
    <w:rsid w:val="00752C38"/>
    <w:rsid w:val="00753390"/>
    <w:rsid w:val="0075575B"/>
    <w:rsid w:val="0075706F"/>
    <w:rsid w:val="00762B36"/>
    <w:rsid w:val="00765F8A"/>
    <w:rsid w:val="0076666C"/>
    <w:rsid w:val="00771C3F"/>
    <w:rsid w:val="00772D1F"/>
    <w:rsid w:val="00772E5C"/>
    <w:rsid w:val="007733EE"/>
    <w:rsid w:val="00777B38"/>
    <w:rsid w:val="0078368E"/>
    <w:rsid w:val="00786571"/>
    <w:rsid w:val="0079115C"/>
    <w:rsid w:val="00791AAD"/>
    <w:rsid w:val="00792BAE"/>
    <w:rsid w:val="007973AA"/>
    <w:rsid w:val="007A1B81"/>
    <w:rsid w:val="007A255D"/>
    <w:rsid w:val="007B1069"/>
    <w:rsid w:val="007C0B7A"/>
    <w:rsid w:val="007C1005"/>
    <w:rsid w:val="007C14BE"/>
    <w:rsid w:val="007C306A"/>
    <w:rsid w:val="007C3AFA"/>
    <w:rsid w:val="007C5EBB"/>
    <w:rsid w:val="007D5A71"/>
    <w:rsid w:val="007D5E88"/>
    <w:rsid w:val="007D5F9E"/>
    <w:rsid w:val="007D78A2"/>
    <w:rsid w:val="007D7D1F"/>
    <w:rsid w:val="007E085A"/>
    <w:rsid w:val="007E2A5E"/>
    <w:rsid w:val="007F056C"/>
    <w:rsid w:val="007F4C36"/>
    <w:rsid w:val="007F729F"/>
    <w:rsid w:val="00800124"/>
    <w:rsid w:val="008013F8"/>
    <w:rsid w:val="008030E2"/>
    <w:rsid w:val="0081260B"/>
    <w:rsid w:val="008144CC"/>
    <w:rsid w:val="00814F9F"/>
    <w:rsid w:val="00822332"/>
    <w:rsid w:val="00824004"/>
    <w:rsid w:val="00827680"/>
    <w:rsid w:val="00830404"/>
    <w:rsid w:val="00837C3D"/>
    <w:rsid w:val="008413C3"/>
    <w:rsid w:val="00843866"/>
    <w:rsid w:val="00852395"/>
    <w:rsid w:val="0085692B"/>
    <w:rsid w:val="008719B0"/>
    <w:rsid w:val="00881AAE"/>
    <w:rsid w:val="00886B8A"/>
    <w:rsid w:val="00886DB3"/>
    <w:rsid w:val="00894664"/>
    <w:rsid w:val="008966F6"/>
    <w:rsid w:val="008B1EA8"/>
    <w:rsid w:val="008B2D27"/>
    <w:rsid w:val="008B4007"/>
    <w:rsid w:val="008B7531"/>
    <w:rsid w:val="008B7EC5"/>
    <w:rsid w:val="008C2638"/>
    <w:rsid w:val="008C749C"/>
    <w:rsid w:val="008D0B4F"/>
    <w:rsid w:val="008D0B8B"/>
    <w:rsid w:val="008D2783"/>
    <w:rsid w:val="008E14ED"/>
    <w:rsid w:val="008E7D1A"/>
    <w:rsid w:val="008F4A14"/>
    <w:rsid w:val="008F74F7"/>
    <w:rsid w:val="0090500D"/>
    <w:rsid w:val="00906988"/>
    <w:rsid w:val="00910531"/>
    <w:rsid w:val="00911FE2"/>
    <w:rsid w:val="0091359B"/>
    <w:rsid w:val="009153E6"/>
    <w:rsid w:val="00920B22"/>
    <w:rsid w:val="00923B4C"/>
    <w:rsid w:val="00923DC5"/>
    <w:rsid w:val="00925795"/>
    <w:rsid w:val="009262F6"/>
    <w:rsid w:val="00930AE6"/>
    <w:rsid w:val="00931875"/>
    <w:rsid w:val="00931CE8"/>
    <w:rsid w:val="0093735D"/>
    <w:rsid w:val="00946429"/>
    <w:rsid w:val="00952615"/>
    <w:rsid w:val="00954231"/>
    <w:rsid w:val="00961056"/>
    <w:rsid w:val="009623CF"/>
    <w:rsid w:val="00965DB6"/>
    <w:rsid w:val="00970AB9"/>
    <w:rsid w:val="009726D3"/>
    <w:rsid w:val="009739A7"/>
    <w:rsid w:val="009777F8"/>
    <w:rsid w:val="00984D30"/>
    <w:rsid w:val="00985473"/>
    <w:rsid w:val="00985F5D"/>
    <w:rsid w:val="00990A92"/>
    <w:rsid w:val="009B31FE"/>
    <w:rsid w:val="009B52B9"/>
    <w:rsid w:val="009B7752"/>
    <w:rsid w:val="009B7FA5"/>
    <w:rsid w:val="009C2C94"/>
    <w:rsid w:val="009C695C"/>
    <w:rsid w:val="009C7293"/>
    <w:rsid w:val="009D26CF"/>
    <w:rsid w:val="009D4B13"/>
    <w:rsid w:val="009D7D9F"/>
    <w:rsid w:val="009E3A08"/>
    <w:rsid w:val="009E48FD"/>
    <w:rsid w:val="009F2109"/>
    <w:rsid w:val="009F3950"/>
    <w:rsid w:val="009F3D79"/>
    <w:rsid w:val="009F5DD0"/>
    <w:rsid w:val="00A037C8"/>
    <w:rsid w:val="00A03C1D"/>
    <w:rsid w:val="00A044F3"/>
    <w:rsid w:val="00A11D4D"/>
    <w:rsid w:val="00A139B3"/>
    <w:rsid w:val="00A13AA8"/>
    <w:rsid w:val="00A14DAE"/>
    <w:rsid w:val="00A210AB"/>
    <w:rsid w:val="00A30A76"/>
    <w:rsid w:val="00A34A53"/>
    <w:rsid w:val="00A41BC7"/>
    <w:rsid w:val="00A4226F"/>
    <w:rsid w:val="00A52D8C"/>
    <w:rsid w:val="00A55D79"/>
    <w:rsid w:val="00A563F9"/>
    <w:rsid w:val="00A60983"/>
    <w:rsid w:val="00A65C7E"/>
    <w:rsid w:val="00A66A10"/>
    <w:rsid w:val="00A7398A"/>
    <w:rsid w:val="00A84778"/>
    <w:rsid w:val="00A8776B"/>
    <w:rsid w:val="00A91E0C"/>
    <w:rsid w:val="00A971E4"/>
    <w:rsid w:val="00AA14AA"/>
    <w:rsid w:val="00AA4E77"/>
    <w:rsid w:val="00AA75C0"/>
    <w:rsid w:val="00AB3205"/>
    <w:rsid w:val="00AC6A30"/>
    <w:rsid w:val="00AE5681"/>
    <w:rsid w:val="00AF3005"/>
    <w:rsid w:val="00AF34C6"/>
    <w:rsid w:val="00AF729B"/>
    <w:rsid w:val="00AF7792"/>
    <w:rsid w:val="00B00FAF"/>
    <w:rsid w:val="00B0498D"/>
    <w:rsid w:val="00B1631C"/>
    <w:rsid w:val="00B22B2A"/>
    <w:rsid w:val="00B2344A"/>
    <w:rsid w:val="00B25373"/>
    <w:rsid w:val="00B25F6F"/>
    <w:rsid w:val="00B32E99"/>
    <w:rsid w:val="00B35694"/>
    <w:rsid w:val="00B3685C"/>
    <w:rsid w:val="00B444B2"/>
    <w:rsid w:val="00B45153"/>
    <w:rsid w:val="00B46656"/>
    <w:rsid w:val="00B47707"/>
    <w:rsid w:val="00B47B56"/>
    <w:rsid w:val="00B47E0B"/>
    <w:rsid w:val="00B51423"/>
    <w:rsid w:val="00B636AC"/>
    <w:rsid w:val="00B63B50"/>
    <w:rsid w:val="00B64FE0"/>
    <w:rsid w:val="00B671AB"/>
    <w:rsid w:val="00B72739"/>
    <w:rsid w:val="00B72BD7"/>
    <w:rsid w:val="00B72E70"/>
    <w:rsid w:val="00B7556A"/>
    <w:rsid w:val="00B8113C"/>
    <w:rsid w:val="00B8120E"/>
    <w:rsid w:val="00B8186E"/>
    <w:rsid w:val="00B8298F"/>
    <w:rsid w:val="00B83DFF"/>
    <w:rsid w:val="00B84881"/>
    <w:rsid w:val="00B8701A"/>
    <w:rsid w:val="00B951A6"/>
    <w:rsid w:val="00BA3F23"/>
    <w:rsid w:val="00BA4AAE"/>
    <w:rsid w:val="00BA64D1"/>
    <w:rsid w:val="00BB6266"/>
    <w:rsid w:val="00BB767E"/>
    <w:rsid w:val="00BD102A"/>
    <w:rsid w:val="00BD1545"/>
    <w:rsid w:val="00BD497C"/>
    <w:rsid w:val="00BD6216"/>
    <w:rsid w:val="00BD66FB"/>
    <w:rsid w:val="00BE04D9"/>
    <w:rsid w:val="00BE2579"/>
    <w:rsid w:val="00BF1D23"/>
    <w:rsid w:val="00C00F20"/>
    <w:rsid w:val="00C030E4"/>
    <w:rsid w:val="00C0322A"/>
    <w:rsid w:val="00C03A63"/>
    <w:rsid w:val="00C10B1A"/>
    <w:rsid w:val="00C247D2"/>
    <w:rsid w:val="00C25275"/>
    <w:rsid w:val="00C30508"/>
    <w:rsid w:val="00C3100B"/>
    <w:rsid w:val="00C3192C"/>
    <w:rsid w:val="00C3331B"/>
    <w:rsid w:val="00C365A7"/>
    <w:rsid w:val="00C43E1D"/>
    <w:rsid w:val="00C43E1E"/>
    <w:rsid w:val="00C46552"/>
    <w:rsid w:val="00C54D2D"/>
    <w:rsid w:val="00C63330"/>
    <w:rsid w:val="00C63772"/>
    <w:rsid w:val="00C6575D"/>
    <w:rsid w:val="00C65E6F"/>
    <w:rsid w:val="00C90B10"/>
    <w:rsid w:val="00C91866"/>
    <w:rsid w:val="00C94DBB"/>
    <w:rsid w:val="00CA2719"/>
    <w:rsid w:val="00CA4586"/>
    <w:rsid w:val="00CA4C3B"/>
    <w:rsid w:val="00CA74D5"/>
    <w:rsid w:val="00CB15E9"/>
    <w:rsid w:val="00CC3D17"/>
    <w:rsid w:val="00CC4AC9"/>
    <w:rsid w:val="00CC72F9"/>
    <w:rsid w:val="00CD2142"/>
    <w:rsid w:val="00CD770C"/>
    <w:rsid w:val="00CE37B5"/>
    <w:rsid w:val="00CE5109"/>
    <w:rsid w:val="00D00F63"/>
    <w:rsid w:val="00D02547"/>
    <w:rsid w:val="00D103E3"/>
    <w:rsid w:val="00D127E1"/>
    <w:rsid w:val="00D12CC6"/>
    <w:rsid w:val="00D16D06"/>
    <w:rsid w:val="00D17799"/>
    <w:rsid w:val="00D20A24"/>
    <w:rsid w:val="00D211C4"/>
    <w:rsid w:val="00D26C5C"/>
    <w:rsid w:val="00D3019A"/>
    <w:rsid w:val="00D32905"/>
    <w:rsid w:val="00D42C42"/>
    <w:rsid w:val="00D500D6"/>
    <w:rsid w:val="00D5403B"/>
    <w:rsid w:val="00D56158"/>
    <w:rsid w:val="00D567F7"/>
    <w:rsid w:val="00D6244C"/>
    <w:rsid w:val="00D64B96"/>
    <w:rsid w:val="00D6583C"/>
    <w:rsid w:val="00D65F7D"/>
    <w:rsid w:val="00D71FDF"/>
    <w:rsid w:val="00D86B63"/>
    <w:rsid w:val="00D90FBA"/>
    <w:rsid w:val="00D912C1"/>
    <w:rsid w:val="00D939E1"/>
    <w:rsid w:val="00DC2201"/>
    <w:rsid w:val="00DC4E59"/>
    <w:rsid w:val="00DC6792"/>
    <w:rsid w:val="00DD7A7D"/>
    <w:rsid w:val="00DE4D49"/>
    <w:rsid w:val="00DE635A"/>
    <w:rsid w:val="00DF09D9"/>
    <w:rsid w:val="00DF3981"/>
    <w:rsid w:val="00DF53B2"/>
    <w:rsid w:val="00DF5A57"/>
    <w:rsid w:val="00E04F5A"/>
    <w:rsid w:val="00E10F0E"/>
    <w:rsid w:val="00E159A8"/>
    <w:rsid w:val="00E16B99"/>
    <w:rsid w:val="00E21828"/>
    <w:rsid w:val="00E21B28"/>
    <w:rsid w:val="00E23B27"/>
    <w:rsid w:val="00E269FB"/>
    <w:rsid w:val="00E37DFA"/>
    <w:rsid w:val="00E41124"/>
    <w:rsid w:val="00E4196A"/>
    <w:rsid w:val="00E4372F"/>
    <w:rsid w:val="00E51FB9"/>
    <w:rsid w:val="00E54246"/>
    <w:rsid w:val="00E553AE"/>
    <w:rsid w:val="00E659FC"/>
    <w:rsid w:val="00E662A2"/>
    <w:rsid w:val="00E738A0"/>
    <w:rsid w:val="00E73C3F"/>
    <w:rsid w:val="00E779B1"/>
    <w:rsid w:val="00E87439"/>
    <w:rsid w:val="00E957A4"/>
    <w:rsid w:val="00E95ABA"/>
    <w:rsid w:val="00EA09AF"/>
    <w:rsid w:val="00EA1891"/>
    <w:rsid w:val="00EA19E1"/>
    <w:rsid w:val="00EA2594"/>
    <w:rsid w:val="00EA4ABE"/>
    <w:rsid w:val="00EA5838"/>
    <w:rsid w:val="00EA60A4"/>
    <w:rsid w:val="00EB28AA"/>
    <w:rsid w:val="00EB5815"/>
    <w:rsid w:val="00EB781E"/>
    <w:rsid w:val="00EC0D26"/>
    <w:rsid w:val="00EC1C92"/>
    <w:rsid w:val="00EE2135"/>
    <w:rsid w:val="00EF0AD5"/>
    <w:rsid w:val="00EF0D24"/>
    <w:rsid w:val="00EF491B"/>
    <w:rsid w:val="00EF4CBC"/>
    <w:rsid w:val="00EF6365"/>
    <w:rsid w:val="00EF650E"/>
    <w:rsid w:val="00F00281"/>
    <w:rsid w:val="00F01221"/>
    <w:rsid w:val="00F05EDD"/>
    <w:rsid w:val="00F06705"/>
    <w:rsid w:val="00F140D3"/>
    <w:rsid w:val="00F1500C"/>
    <w:rsid w:val="00F251B6"/>
    <w:rsid w:val="00F30B61"/>
    <w:rsid w:val="00F31042"/>
    <w:rsid w:val="00F332DC"/>
    <w:rsid w:val="00F442B7"/>
    <w:rsid w:val="00F55107"/>
    <w:rsid w:val="00F554DB"/>
    <w:rsid w:val="00F574E4"/>
    <w:rsid w:val="00F6384C"/>
    <w:rsid w:val="00F66262"/>
    <w:rsid w:val="00F66E70"/>
    <w:rsid w:val="00F734D8"/>
    <w:rsid w:val="00F759CC"/>
    <w:rsid w:val="00F76123"/>
    <w:rsid w:val="00F80884"/>
    <w:rsid w:val="00F8426E"/>
    <w:rsid w:val="00F929BB"/>
    <w:rsid w:val="00F930DF"/>
    <w:rsid w:val="00F9757F"/>
    <w:rsid w:val="00FA09D0"/>
    <w:rsid w:val="00FA1407"/>
    <w:rsid w:val="00FB4994"/>
    <w:rsid w:val="00FB7CFC"/>
    <w:rsid w:val="00FC39F9"/>
    <w:rsid w:val="00FC51AA"/>
    <w:rsid w:val="00FC6C48"/>
    <w:rsid w:val="00FD601B"/>
    <w:rsid w:val="00FE079C"/>
    <w:rsid w:val="00FE39E5"/>
    <w:rsid w:val="00FE541C"/>
    <w:rsid w:val="00FF0AA4"/>
    <w:rsid w:val="00FF631D"/>
    <w:rsid w:val="00FF6FFF"/>
    <w:rsid w:val="00FF71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4CAC9A"/>
  <w15:docId w15:val="{6F95502F-9442-4B3E-9283-109DA5E8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739"/>
    <w:pPr>
      <w:jc w:val="both"/>
    </w:pPr>
    <w:rPr>
      <w:rFonts w:ascii="Times New Roman" w:hAnsi="Times New Roman"/>
      <w:sz w:val="20"/>
    </w:rPr>
  </w:style>
  <w:style w:type="paragraph" w:styleId="Ttulo1">
    <w:name w:val="heading 1"/>
    <w:basedOn w:val="Normal"/>
    <w:next w:val="Normal"/>
    <w:link w:val="Ttulo1Car"/>
    <w:rsid w:val="00E04F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customStyle="1" w:styleId="PSITablaD">
    <w:name w:val="PSI_TablaD"/>
    <w:basedOn w:val="Normal"/>
    <w:uiPriority w:val="99"/>
    <w:rsid w:val="00FA09D0"/>
    <w:pPr>
      <w:jc w:val="center"/>
    </w:pPr>
    <w:rPr>
      <w:rFonts w:eastAsia="Times New Roman" w:cs="Times New Roman"/>
      <w:szCs w:val="20"/>
      <w:lang w:val="es-ES" w:eastAsia="es-ES"/>
    </w:rPr>
  </w:style>
  <w:style w:type="character" w:customStyle="1" w:styleId="Ttulo1Car">
    <w:name w:val="Título 1 Car"/>
    <w:basedOn w:val="Fuentedeprrafopredeter"/>
    <w:link w:val="Ttulo1"/>
    <w:rsid w:val="00E04F5A"/>
    <w:rPr>
      <w:rFonts w:asciiTheme="majorHAnsi" w:eastAsiaTheme="majorEastAsia" w:hAnsiTheme="majorHAnsi" w:cstheme="majorBidi"/>
      <w:color w:val="365F91" w:themeColor="accent1" w:themeShade="BF"/>
      <w:sz w:val="32"/>
      <w:szCs w:val="32"/>
    </w:rPr>
  </w:style>
  <w:style w:type="character" w:customStyle="1" w:styleId="value">
    <w:name w:val="value"/>
    <w:basedOn w:val="Fuentedeprrafopredeter"/>
    <w:rsid w:val="003D6BBA"/>
  </w:style>
  <w:style w:type="character" w:styleId="Refdecomentario">
    <w:name w:val="annotation reference"/>
    <w:basedOn w:val="Fuentedeprrafopredeter"/>
    <w:semiHidden/>
    <w:unhideWhenUsed/>
    <w:rsid w:val="004E61F3"/>
    <w:rPr>
      <w:sz w:val="16"/>
      <w:szCs w:val="16"/>
    </w:rPr>
  </w:style>
  <w:style w:type="paragraph" w:styleId="Textocomentario">
    <w:name w:val="annotation text"/>
    <w:basedOn w:val="Normal"/>
    <w:link w:val="TextocomentarioCar"/>
    <w:semiHidden/>
    <w:unhideWhenUsed/>
    <w:rsid w:val="004E61F3"/>
    <w:rPr>
      <w:szCs w:val="20"/>
    </w:rPr>
  </w:style>
  <w:style w:type="character" w:customStyle="1" w:styleId="TextocomentarioCar">
    <w:name w:val="Texto comentario Car"/>
    <w:basedOn w:val="Fuentedeprrafopredeter"/>
    <w:link w:val="Textocomentario"/>
    <w:semiHidden/>
    <w:rsid w:val="004E61F3"/>
    <w:rPr>
      <w:rFonts w:ascii="Times New Roman" w:hAnsi="Times New Roman"/>
      <w:sz w:val="20"/>
      <w:szCs w:val="20"/>
    </w:rPr>
  </w:style>
  <w:style w:type="paragraph" w:styleId="Asuntodelcomentario">
    <w:name w:val="annotation subject"/>
    <w:basedOn w:val="Textocomentario"/>
    <w:next w:val="Textocomentario"/>
    <w:link w:val="AsuntodelcomentarioCar"/>
    <w:semiHidden/>
    <w:unhideWhenUsed/>
    <w:rsid w:val="004E61F3"/>
    <w:rPr>
      <w:b/>
      <w:bCs/>
    </w:rPr>
  </w:style>
  <w:style w:type="character" w:customStyle="1" w:styleId="AsuntodelcomentarioCar">
    <w:name w:val="Asunto del comentario Car"/>
    <w:basedOn w:val="TextocomentarioCar"/>
    <w:link w:val="Asuntodelcomentario"/>
    <w:semiHidden/>
    <w:rsid w:val="004E61F3"/>
    <w:rPr>
      <w:rFonts w:ascii="Times New Roman" w:hAnsi="Times New Roman"/>
      <w:b/>
      <w:bCs/>
      <w:sz w:val="20"/>
      <w:szCs w:val="20"/>
    </w:rPr>
  </w:style>
  <w:style w:type="character" w:styleId="Textoennegrita">
    <w:name w:val="Strong"/>
    <w:basedOn w:val="Fuentedeprrafopredeter"/>
    <w:uiPriority w:val="22"/>
    <w:qFormat/>
    <w:rsid w:val="0043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5238">
      <w:bodyDiv w:val="1"/>
      <w:marLeft w:val="0"/>
      <w:marRight w:val="0"/>
      <w:marTop w:val="0"/>
      <w:marBottom w:val="0"/>
      <w:divBdr>
        <w:top w:val="none" w:sz="0" w:space="0" w:color="auto"/>
        <w:left w:val="none" w:sz="0" w:space="0" w:color="auto"/>
        <w:bottom w:val="none" w:sz="0" w:space="0" w:color="auto"/>
        <w:right w:val="none" w:sz="0" w:space="0" w:color="auto"/>
      </w:divBdr>
      <w:divsChild>
        <w:div w:id="698513463">
          <w:marLeft w:val="0"/>
          <w:marRight w:val="0"/>
          <w:marTop w:val="0"/>
          <w:marBottom w:val="0"/>
          <w:divBdr>
            <w:top w:val="none" w:sz="0" w:space="0" w:color="auto"/>
            <w:left w:val="none" w:sz="0" w:space="0" w:color="auto"/>
            <w:bottom w:val="none" w:sz="0" w:space="0" w:color="auto"/>
            <w:right w:val="none" w:sz="0" w:space="0" w:color="auto"/>
          </w:divBdr>
          <w:divsChild>
            <w:div w:id="393116044">
              <w:marLeft w:val="0"/>
              <w:marRight w:val="0"/>
              <w:marTop w:val="0"/>
              <w:marBottom w:val="0"/>
              <w:divBdr>
                <w:top w:val="none" w:sz="0" w:space="0" w:color="auto"/>
                <w:left w:val="none" w:sz="0" w:space="0" w:color="auto"/>
                <w:bottom w:val="none" w:sz="0" w:space="0" w:color="auto"/>
                <w:right w:val="none" w:sz="0" w:space="0" w:color="auto"/>
              </w:divBdr>
              <w:divsChild>
                <w:div w:id="15213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2256">
      <w:bodyDiv w:val="1"/>
      <w:marLeft w:val="0"/>
      <w:marRight w:val="0"/>
      <w:marTop w:val="0"/>
      <w:marBottom w:val="0"/>
      <w:divBdr>
        <w:top w:val="none" w:sz="0" w:space="0" w:color="auto"/>
        <w:left w:val="none" w:sz="0" w:space="0" w:color="auto"/>
        <w:bottom w:val="none" w:sz="0" w:space="0" w:color="auto"/>
        <w:right w:val="none" w:sz="0" w:space="0" w:color="auto"/>
      </w:divBdr>
    </w:div>
    <w:div w:id="647133099">
      <w:bodyDiv w:val="1"/>
      <w:marLeft w:val="0"/>
      <w:marRight w:val="0"/>
      <w:marTop w:val="0"/>
      <w:marBottom w:val="0"/>
      <w:divBdr>
        <w:top w:val="none" w:sz="0" w:space="0" w:color="auto"/>
        <w:left w:val="none" w:sz="0" w:space="0" w:color="auto"/>
        <w:bottom w:val="none" w:sz="0" w:space="0" w:color="auto"/>
        <w:right w:val="none" w:sz="0" w:space="0" w:color="auto"/>
      </w:divBdr>
      <w:divsChild>
        <w:div w:id="8876698">
          <w:marLeft w:val="0"/>
          <w:marRight w:val="0"/>
          <w:marTop w:val="0"/>
          <w:marBottom w:val="0"/>
          <w:divBdr>
            <w:top w:val="none" w:sz="0" w:space="0" w:color="auto"/>
            <w:left w:val="none" w:sz="0" w:space="0" w:color="auto"/>
            <w:bottom w:val="none" w:sz="0" w:space="0" w:color="auto"/>
            <w:right w:val="none" w:sz="0" w:space="0" w:color="auto"/>
          </w:divBdr>
          <w:divsChild>
            <w:div w:id="343361454">
              <w:marLeft w:val="0"/>
              <w:marRight w:val="0"/>
              <w:marTop w:val="0"/>
              <w:marBottom w:val="0"/>
              <w:divBdr>
                <w:top w:val="none" w:sz="0" w:space="0" w:color="auto"/>
                <w:left w:val="none" w:sz="0" w:space="0" w:color="auto"/>
                <w:bottom w:val="none" w:sz="0" w:space="0" w:color="auto"/>
                <w:right w:val="none" w:sz="0" w:space="0" w:color="auto"/>
              </w:divBdr>
              <w:divsChild>
                <w:div w:id="13005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36881">
      <w:bodyDiv w:val="1"/>
      <w:marLeft w:val="0"/>
      <w:marRight w:val="0"/>
      <w:marTop w:val="0"/>
      <w:marBottom w:val="0"/>
      <w:divBdr>
        <w:top w:val="none" w:sz="0" w:space="0" w:color="auto"/>
        <w:left w:val="none" w:sz="0" w:space="0" w:color="auto"/>
        <w:bottom w:val="none" w:sz="0" w:space="0" w:color="auto"/>
        <w:right w:val="none" w:sz="0" w:space="0" w:color="auto"/>
      </w:divBdr>
    </w:div>
    <w:div w:id="833565701">
      <w:bodyDiv w:val="1"/>
      <w:marLeft w:val="0"/>
      <w:marRight w:val="0"/>
      <w:marTop w:val="0"/>
      <w:marBottom w:val="0"/>
      <w:divBdr>
        <w:top w:val="none" w:sz="0" w:space="0" w:color="auto"/>
        <w:left w:val="none" w:sz="0" w:space="0" w:color="auto"/>
        <w:bottom w:val="none" w:sz="0" w:space="0" w:color="auto"/>
        <w:right w:val="none" w:sz="0" w:space="0" w:color="auto"/>
      </w:divBdr>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717504982">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0827/profesorado.v24i3.826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7203/dces.30.68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201/fdp2021126189" TargetMode="External"/><Relationship Id="rId5" Type="http://schemas.openxmlformats.org/officeDocument/2006/relationships/webSettings" Target="webSettings.xml"/><Relationship Id="rId15" Type="http://schemas.openxmlformats.org/officeDocument/2006/relationships/hyperlink" Target="https://doi.org/10.6018/reifop.418601" TargetMode="External"/><Relationship Id="rId10" Type="http://schemas.openxmlformats.org/officeDocument/2006/relationships/hyperlink" Target="https://doi.org/10.47553/rifop.v97i35.2.885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47553/rifop.v34i3.81004" TargetMode="External"/><Relationship Id="rId14" Type="http://schemas.openxmlformats.org/officeDocument/2006/relationships/hyperlink" Target="https://doi.org/10.6018/reifop/20.1.23515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torado\Tesis%20Chema\Art&#237;culo%202%20-%20Did&#225;ctica%20de%20las%20Ciencias\Manuscrito%20(2021.03.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200D-FAB1-4830-8776-69D5D9F2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Manuscrito (2021.03.10)</Template>
  <TotalTime>2</TotalTime>
  <Pages>1</Pages>
  <Words>8136</Words>
  <Characters>44750</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2021-05-21T10:37:00Z</cp:lastPrinted>
  <dcterms:created xsi:type="dcterms:W3CDTF">2022-01-10T12:53:00Z</dcterms:created>
  <dcterms:modified xsi:type="dcterms:W3CDTF">2022-01-11T11:45:00Z</dcterms:modified>
</cp:coreProperties>
</file>